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24BA8" w14:textId="77777777" w:rsidR="00B67A67" w:rsidRDefault="00000000">
      <w:pPr>
        <w:pStyle w:val="a6"/>
        <w:widowControl/>
        <w:spacing w:beforeAutospacing="0" w:afterAutospacing="0" w:line="375" w:lineRule="atLeast"/>
        <w:jc w:val="center"/>
      </w:pPr>
      <w:r>
        <w:rPr>
          <w:rStyle w:val="a8"/>
          <w:rFonts w:ascii="黑体" w:eastAsia="黑体" w:hAnsi="宋体" w:cs="黑体"/>
          <w:color w:val="101010"/>
          <w:kern w:val="2"/>
          <w:sz w:val="36"/>
          <w:szCs w:val="36"/>
          <w:shd w:val="clear" w:color="auto" w:fill="FFFFFF"/>
        </w:rPr>
        <w:t>天津中德应用技术大学</w:t>
      </w:r>
      <w:r>
        <w:rPr>
          <w:rStyle w:val="a8"/>
          <w:rFonts w:ascii="黑体" w:eastAsia="黑体" w:hAnsi="Calibri" w:hint="eastAsia"/>
          <w:color w:val="101010"/>
          <w:kern w:val="2"/>
          <w:sz w:val="36"/>
          <w:szCs w:val="36"/>
          <w:shd w:val="clear" w:color="auto" w:fill="FFFFFF"/>
        </w:rPr>
        <w:t>2024年高职升本科招生章程</w:t>
      </w:r>
    </w:p>
    <w:p w14:paraId="473D3E0A" w14:textId="77777777" w:rsidR="00B67A67" w:rsidRDefault="00000000">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t>第一章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总则</w:t>
      </w:r>
    </w:p>
    <w:p w14:paraId="1381EB33"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第一条</w:t>
      </w:r>
      <w:r>
        <w:rPr>
          <w:rFonts w:ascii="仿宋_GB2312" w:eastAsia="仿宋_GB2312" w:hAnsi="Calibri"/>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根据《中华人民共和国教育法》、《中华人民共和国高等教育法》等相关法律法规和市高招办发布的《2024年天津市高职升本科招生实施办法》的相关</w:t>
      </w:r>
      <w:r>
        <w:rPr>
          <w:rFonts w:ascii="仿宋_GB2312" w:eastAsia="仿宋_GB2312" w:hAnsi="Calibri" w:hint="eastAsia"/>
          <w:color w:val="101010"/>
          <w:kern w:val="2"/>
          <w:sz w:val="32"/>
          <w:szCs w:val="32"/>
          <w:shd w:val="clear" w:color="auto" w:fill="FFFFFF"/>
        </w:rPr>
        <w:t>要求，结合我校招生工作实际，制定本章程。</w:t>
      </w:r>
    </w:p>
    <w:p w14:paraId="7A28D259"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本章程是社会了解我校有关高职升本科招生政策、规定及相关信息的主要渠道</w:t>
      </w:r>
      <w:r>
        <w:rPr>
          <w:rFonts w:ascii="仿宋_GB2312" w:eastAsia="仿宋_GB2312" w:hAnsi="Calibri" w:hint="eastAsia"/>
          <w:color w:val="101010"/>
          <w:kern w:val="2"/>
          <w:sz w:val="32"/>
          <w:szCs w:val="32"/>
          <w:shd w:val="clear" w:color="auto" w:fill="FFFFFF"/>
        </w:rPr>
        <w:t>,是我校开展招生咨询和录取工作的主要依据。</w:t>
      </w:r>
    </w:p>
    <w:p w14:paraId="0B1AA3D6"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第三条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本章程经天津中德应用技术大学招生委员会审查通过，报上级主管部门审核。</w:t>
      </w:r>
    </w:p>
    <w:p w14:paraId="180BF3D4"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第四条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学校概况</w:t>
      </w:r>
    </w:p>
    <w:p w14:paraId="1D95D081" w14:textId="77777777" w:rsidR="00B67A67" w:rsidRDefault="00000000">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一、学校名称</w:t>
      </w:r>
      <w:r>
        <w:rPr>
          <w:rFonts w:ascii="仿宋_GB2312" w:eastAsia="仿宋_GB2312" w:hAnsi="Calibri" w:hint="eastAsia"/>
          <w:color w:val="101010"/>
          <w:kern w:val="2"/>
          <w:sz w:val="32"/>
          <w:szCs w:val="32"/>
          <w:shd w:val="clear" w:color="auto" w:fill="FFFFFF"/>
        </w:rPr>
        <w:t>:  天津中德应用技术大学</w:t>
      </w:r>
    </w:p>
    <w:p w14:paraId="176C9917" w14:textId="77777777" w:rsidR="00B67A67" w:rsidRDefault="00000000">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二、办学类型</w:t>
      </w:r>
      <w:r>
        <w:rPr>
          <w:rFonts w:ascii="仿宋_GB2312" w:eastAsia="仿宋_GB2312" w:hAnsi="Calibri" w:hint="eastAsia"/>
          <w:color w:val="101010"/>
          <w:kern w:val="2"/>
          <w:sz w:val="32"/>
          <w:szCs w:val="32"/>
          <w:shd w:val="clear" w:color="auto" w:fill="FFFFFF"/>
        </w:rPr>
        <w:t>:  全日制普通高等学校</w:t>
      </w:r>
    </w:p>
    <w:p w14:paraId="3C39D1FC" w14:textId="77777777" w:rsidR="00B67A67" w:rsidRDefault="00000000">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三、办学层次</w:t>
      </w:r>
      <w:r>
        <w:rPr>
          <w:rFonts w:ascii="仿宋_GB2312" w:eastAsia="仿宋_GB2312" w:hAnsi="Calibri" w:hint="eastAsia"/>
          <w:color w:val="101010"/>
          <w:kern w:val="2"/>
          <w:sz w:val="32"/>
          <w:szCs w:val="32"/>
          <w:shd w:val="clear" w:color="auto" w:fill="FFFFFF"/>
        </w:rPr>
        <w:t>:  硕士、本科、高职</w:t>
      </w:r>
    </w:p>
    <w:p w14:paraId="11398718" w14:textId="77777777" w:rsidR="00B67A67" w:rsidRDefault="00000000">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四、学校代码</w:t>
      </w:r>
      <w:r>
        <w:rPr>
          <w:rFonts w:ascii="仿宋_GB2312" w:eastAsia="仿宋_GB2312" w:hAnsi="Calibri" w:hint="eastAsia"/>
          <w:color w:val="101010"/>
          <w:kern w:val="2"/>
          <w:sz w:val="32"/>
          <w:szCs w:val="32"/>
          <w:shd w:val="clear" w:color="auto" w:fill="FFFFFF"/>
        </w:rPr>
        <w:t>:  12105</w:t>
      </w:r>
    </w:p>
    <w:p w14:paraId="67004F53" w14:textId="77777777" w:rsidR="00B67A67" w:rsidRDefault="00000000">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五、学校地址</w:t>
      </w:r>
      <w:r>
        <w:rPr>
          <w:rFonts w:ascii="仿宋_GB2312" w:eastAsia="仿宋_GB2312" w:hAnsi="Calibri" w:hint="eastAsia"/>
          <w:color w:val="101010"/>
          <w:kern w:val="2"/>
          <w:sz w:val="32"/>
          <w:szCs w:val="32"/>
          <w:shd w:val="clear" w:color="auto" w:fill="FFFFFF"/>
        </w:rPr>
        <w:t>: 天津海河教育</w:t>
      </w:r>
      <w:proofErr w:type="gramStart"/>
      <w:r>
        <w:rPr>
          <w:rFonts w:ascii="仿宋_GB2312" w:eastAsia="仿宋_GB2312" w:hAnsi="Calibri" w:hint="eastAsia"/>
          <w:color w:val="101010"/>
          <w:kern w:val="2"/>
          <w:sz w:val="32"/>
          <w:szCs w:val="32"/>
          <w:shd w:val="clear" w:color="auto" w:fill="FFFFFF"/>
        </w:rPr>
        <w:t>园区雅深路</w:t>
      </w:r>
      <w:proofErr w:type="gramEnd"/>
      <w:r>
        <w:rPr>
          <w:rFonts w:ascii="仿宋_GB2312" w:eastAsia="仿宋_GB2312" w:hAnsi="Calibri" w:hint="eastAsia"/>
          <w:color w:val="101010"/>
          <w:kern w:val="2"/>
          <w:sz w:val="32"/>
          <w:szCs w:val="32"/>
          <w:shd w:val="clear" w:color="auto" w:fill="FFFFFF"/>
        </w:rPr>
        <w:t>2 号</w:t>
      </w:r>
    </w:p>
    <w:p w14:paraId="11F0186B" w14:textId="77777777" w:rsidR="00B67A67" w:rsidRDefault="00000000">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六、学校基本概况</w:t>
      </w:r>
      <w:r>
        <w:rPr>
          <w:rFonts w:ascii="仿宋_GB2312" w:eastAsia="仿宋_GB2312" w:hAnsi="Calibri" w:hint="eastAsia"/>
          <w:color w:val="101010"/>
          <w:kern w:val="2"/>
          <w:sz w:val="32"/>
          <w:szCs w:val="32"/>
          <w:shd w:val="clear" w:color="auto" w:fill="FFFFFF"/>
        </w:rPr>
        <w:t>: 天津中德应用技术大学坐落在渤海之滨的天津海河教育园区，是教育部批准成立的国内第一所应用技术大学，是市政府批准的世界一流应用技术大学建设单位，是经国务院学位委员会正式批准的硕士授予单位。</w:t>
      </w:r>
    </w:p>
    <w:p w14:paraId="42E57E9D" w14:textId="77777777" w:rsidR="00B67A67" w:rsidRDefault="00000000">
      <w:pPr>
        <w:pStyle w:val="a6"/>
        <w:widowControl/>
        <w:shd w:val="clear" w:color="auto" w:fill="FFFFFF"/>
        <w:spacing w:beforeAutospacing="0" w:afterAutospacing="0" w:line="480" w:lineRule="atLeast"/>
        <w:ind w:firstLine="600"/>
        <w:jc w:val="both"/>
        <w:rPr>
          <w:rFonts w:ascii="仿宋_GB2312" w:eastAsia="仿宋_GB2312" w:hAnsi="Calibri"/>
          <w:color w:val="101010"/>
          <w:kern w:val="2"/>
          <w:sz w:val="32"/>
          <w:szCs w:val="32"/>
          <w:shd w:val="clear" w:color="auto" w:fill="FFFFFF"/>
        </w:rPr>
      </w:pPr>
      <w:r>
        <w:rPr>
          <w:rFonts w:ascii="仿宋_GB2312" w:eastAsia="仿宋_GB2312" w:hAnsi="Calibri" w:hint="eastAsia"/>
          <w:color w:val="101010"/>
          <w:kern w:val="2"/>
          <w:sz w:val="32"/>
          <w:szCs w:val="32"/>
          <w:shd w:val="clear" w:color="auto" w:fill="FFFFFF"/>
        </w:rPr>
        <w:t>学校占地面积1000亩，建筑面积29.73万平方米，教学做一体化的实验实训场所301个，全校教学科研仪器设备两万余台套、</w:t>
      </w:r>
      <w:r>
        <w:rPr>
          <w:rFonts w:ascii="仿宋_GB2312" w:eastAsia="仿宋_GB2312" w:hAnsi="Calibri" w:hint="eastAsia"/>
          <w:color w:val="101010"/>
          <w:kern w:val="2"/>
          <w:sz w:val="32"/>
          <w:szCs w:val="32"/>
          <w:shd w:val="clear" w:color="auto" w:fill="FFFFFF"/>
        </w:rPr>
        <w:lastRenderedPageBreak/>
        <w:t>价值5亿余元人民币。学校现有天津市工程技术中心、天津市工程研究中心等省部级科研平台4个，与中国汽车技术研究中心有限公司、西安交通大学机械工程学院、蓝箭航天空间科技股份有限公司、天津天锻压力机有限公司等共建技术创新中心、联合重点实验室等科研平台15个。学校现有教职员工741名，副教</w:t>
      </w:r>
      <w:r>
        <w:rPr>
          <w:rFonts w:ascii="仿宋_GB2312" w:eastAsia="仿宋_GB2312" w:hAnsi="Calibri"/>
          <w:color w:val="101010"/>
          <w:kern w:val="2"/>
          <w:sz w:val="32"/>
          <w:szCs w:val="32"/>
          <w:shd w:val="clear" w:color="auto" w:fill="FFFFFF"/>
        </w:rPr>
        <w:t>授以上职称教师占专任教师40%，硕士及以上学位教师占专任教师85.43%。</w:t>
      </w:r>
      <w:r>
        <w:rPr>
          <w:rFonts w:ascii="仿宋_GB2312" w:eastAsia="仿宋_GB2312" w:hAnsi="Calibri" w:hint="eastAsia"/>
          <w:color w:val="101010"/>
          <w:kern w:val="2"/>
          <w:sz w:val="32"/>
          <w:szCs w:val="32"/>
          <w:shd w:val="clear" w:color="auto" w:fill="FFFFFF"/>
        </w:rPr>
        <w:t>学校现有国家级教学团队2个，拥有国家级技术能手3人，省部级技术能手8人，建有天津市技能大师工作室1个。2019年至2021年，连续三年蝉联全国新建本科院校教师教学发展指数排名第一。</w:t>
      </w:r>
    </w:p>
    <w:p w14:paraId="79371A48" w14:textId="77777777" w:rsidR="00B67A67" w:rsidRDefault="00000000">
      <w:pPr>
        <w:pStyle w:val="a6"/>
        <w:widowControl/>
        <w:spacing w:beforeAutospacing="0" w:afterAutospacing="0" w:line="375" w:lineRule="atLeast"/>
        <w:ind w:firstLineChars="200" w:firstLine="640"/>
        <w:jc w:val="both"/>
        <w:rPr>
          <w:rFonts w:ascii="仿宋_GB2312" w:eastAsia="仿宋_GB2312" w:hAnsi="Calibri"/>
          <w:color w:val="101010"/>
          <w:kern w:val="2"/>
          <w:sz w:val="32"/>
          <w:szCs w:val="32"/>
          <w:shd w:val="clear" w:color="auto" w:fill="FFFFFF"/>
        </w:rPr>
      </w:pPr>
      <w:r>
        <w:rPr>
          <w:rFonts w:ascii="仿宋_GB2312" w:eastAsia="仿宋_GB2312" w:hAnsi="Calibri" w:hint="eastAsia"/>
          <w:color w:val="101010"/>
          <w:kern w:val="2"/>
          <w:sz w:val="32"/>
          <w:szCs w:val="32"/>
          <w:shd w:val="clear" w:color="auto" w:fill="FFFFFF"/>
        </w:rPr>
        <w:t>学校现有先进制造技术、自动化技术、航空航天技术与服务、交通技术与服务、软件与通信技术、新能源、经贸管理、文化创意与技术、应用语言等9大应用型学科专业组群，现有专业硕士点1个，本科专业22个，高职专业19个，在校生1.2万余人，非学历教育培训规模近三年累计8.5万人次。</w:t>
      </w:r>
    </w:p>
    <w:p w14:paraId="51F846C6" w14:textId="77777777" w:rsidR="00B67A67" w:rsidRDefault="00000000">
      <w:pPr>
        <w:pStyle w:val="a6"/>
        <w:widowControl/>
        <w:spacing w:beforeAutospacing="0" w:afterAutospacing="0" w:line="375" w:lineRule="atLeast"/>
        <w:ind w:firstLineChars="200" w:firstLine="640"/>
        <w:jc w:val="both"/>
        <w:rPr>
          <w:rFonts w:ascii="仿宋_GB2312" w:eastAsia="仿宋_GB2312" w:hAnsi="Calibri"/>
          <w:color w:val="101010"/>
          <w:kern w:val="2"/>
          <w:sz w:val="32"/>
          <w:szCs w:val="32"/>
          <w:shd w:val="clear" w:color="auto" w:fill="FFFFFF"/>
        </w:rPr>
      </w:pPr>
      <w:r>
        <w:rPr>
          <w:rFonts w:ascii="仿宋_GB2312" w:eastAsia="仿宋_GB2312" w:hAnsi="Calibri" w:hint="eastAsia"/>
          <w:color w:val="101010"/>
          <w:kern w:val="2"/>
          <w:sz w:val="32"/>
          <w:szCs w:val="32"/>
          <w:shd w:val="clear" w:color="auto" w:fill="FFFFFF"/>
        </w:rPr>
        <w:t>学校秉承“崇实 求精 致良知”的校训和“海纳百川 敬业乐群”的中德精神，始终坚持聚焦工业发展需求，传承“精益求精、诚实守信”的工匠精神，致力于培养“政治过硬、技能精湛、诚实守信、理性平和”的高级技师、一线工程师、大国工匠。当前，学校正在积极探索构建现代职业教育体系，全力推进世界一流应用技术大学建设。</w:t>
      </w:r>
    </w:p>
    <w:p w14:paraId="3CBFF545" w14:textId="77777777" w:rsidR="00B67A67" w:rsidRDefault="00B67A67">
      <w:pPr>
        <w:pStyle w:val="a6"/>
        <w:widowControl/>
        <w:spacing w:beforeAutospacing="0" w:afterAutospacing="0" w:line="375" w:lineRule="atLeast"/>
        <w:jc w:val="center"/>
        <w:rPr>
          <w:rStyle w:val="a8"/>
          <w:rFonts w:ascii="黑体" w:eastAsia="黑体" w:hAnsi="宋体" w:cs="黑体"/>
          <w:color w:val="101010"/>
          <w:kern w:val="2"/>
          <w:sz w:val="32"/>
          <w:szCs w:val="32"/>
          <w:shd w:val="clear" w:color="auto" w:fill="FFFFFF"/>
        </w:rPr>
      </w:pPr>
    </w:p>
    <w:p w14:paraId="2B311BA7" w14:textId="77777777" w:rsidR="00B67A67" w:rsidRDefault="00B67A67">
      <w:pPr>
        <w:pStyle w:val="a6"/>
        <w:widowControl/>
        <w:spacing w:beforeAutospacing="0" w:afterAutospacing="0" w:line="375" w:lineRule="atLeast"/>
        <w:jc w:val="center"/>
        <w:rPr>
          <w:rStyle w:val="a8"/>
          <w:rFonts w:ascii="黑体" w:eastAsia="黑体" w:hAnsi="宋体" w:cs="黑体"/>
          <w:color w:val="101010"/>
          <w:kern w:val="2"/>
          <w:sz w:val="32"/>
          <w:szCs w:val="32"/>
          <w:shd w:val="clear" w:color="auto" w:fill="FFFFFF"/>
        </w:rPr>
      </w:pPr>
    </w:p>
    <w:p w14:paraId="15FEA95E" w14:textId="77777777" w:rsidR="00B67A67" w:rsidRDefault="00000000">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lastRenderedPageBreak/>
        <w:t>第二章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招生机构</w:t>
      </w:r>
    </w:p>
    <w:p w14:paraId="65B42A80"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第五条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学校设立招生工作委员会，全面负责学校的招生工作</w:t>
      </w:r>
      <w:r>
        <w:rPr>
          <w:rFonts w:ascii="仿宋_GB2312" w:eastAsia="仿宋_GB2312" w:hAnsi="Calibri" w:hint="eastAsia"/>
          <w:color w:val="101010"/>
          <w:kern w:val="2"/>
          <w:sz w:val="32"/>
          <w:szCs w:val="32"/>
          <w:shd w:val="clear" w:color="auto" w:fill="FFFFFF"/>
        </w:rPr>
        <w:t>,制定招生政策、招生计划，研究有关招生工作的重大事宜。</w:t>
      </w:r>
    </w:p>
    <w:p w14:paraId="4BCF68E9"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第六条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学校招生工作委员会下设普通本科招生办公室，是组织和实施招生工作的常设机构，具体负责招生的日常工作。</w:t>
      </w:r>
    </w:p>
    <w:p w14:paraId="6EF88883"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第七条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学校本科招生工作接受市招生委员会、纪检监察部门和社会各界的监督。</w:t>
      </w:r>
    </w:p>
    <w:p w14:paraId="4F99E993" w14:textId="77777777" w:rsidR="00B67A67" w:rsidRDefault="00000000">
      <w:pPr>
        <w:pStyle w:val="a6"/>
        <w:widowControl/>
        <w:spacing w:beforeAutospacing="0" w:afterAutospacing="0" w:line="375" w:lineRule="atLeast"/>
        <w:jc w:val="center"/>
        <w:rPr>
          <w:rFonts w:eastAsia="黑体"/>
        </w:rPr>
      </w:pPr>
      <w:r>
        <w:rPr>
          <w:rStyle w:val="a8"/>
          <w:rFonts w:ascii="黑体" w:eastAsia="黑体" w:hAnsi="宋体" w:cs="黑体" w:hint="eastAsia"/>
          <w:color w:val="101010"/>
          <w:kern w:val="2"/>
          <w:sz w:val="32"/>
          <w:szCs w:val="32"/>
          <w:shd w:val="clear" w:color="auto" w:fill="FFFFFF"/>
        </w:rPr>
        <w:t>第三章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招生计划及收费标准</w:t>
      </w:r>
    </w:p>
    <w:p w14:paraId="5EA27A1A" w14:textId="77777777" w:rsidR="00B67A67" w:rsidRDefault="00000000">
      <w:pPr>
        <w:pStyle w:val="a6"/>
        <w:widowControl/>
        <w:spacing w:beforeAutospacing="0" w:afterAutospacing="0" w:line="375" w:lineRule="atLeast"/>
        <w:ind w:firstLineChars="200" w:firstLine="640"/>
        <w:rPr>
          <w:rFonts w:ascii="仿宋_GB2312" w:eastAsia="仿宋_GB2312" w:hAnsi="Calibri"/>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第八条</w:t>
      </w:r>
      <w:r>
        <w:rPr>
          <w:rFonts w:ascii="仿宋_GB2312" w:eastAsia="仿宋_GB2312" w:hAnsi="Calibri" w:hint="eastAsia"/>
          <w:color w:val="101010"/>
          <w:kern w:val="2"/>
          <w:sz w:val="32"/>
          <w:szCs w:val="32"/>
          <w:shd w:val="clear" w:color="auto" w:fill="FFFFFF"/>
        </w:rPr>
        <w:t xml:space="preserve">  2024年高职升本科招生计划</w:t>
      </w:r>
    </w:p>
    <w:tbl>
      <w:tblPr>
        <w:tblStyle w:val="a7"/>
        <w:tblW w:w="9005"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732"/>
        <w:gridCol w:w="780"/>
        <w:gridCol w:w="991"/>
        <w:gridCol w:w="736"/>
        <w:gridCol w:w="2766"/>
      </w:tblGrid>
      <w:tr w:rsidR="00B67A67" w14:paraId="39D8EB47" w14:textId="77777777">
        <w:trPr>
          <w:jc w:val="center"/>
        </w:trPr>
        <w:tc>
          <w:tcPr>
            <w:tcW w:w="3732" w:type="dxa"/>
            <w:tcBorders>
              <w:tl2br w:val="nil"/>
              <w:tr2bl w:val="nil"/>
            </w:tcBorders>
            <w:vAlign w:val="center"/>
          </w:tcPr>
          <w:p w14:paraId="1A331F26" w14:textId="77777777" w:rsidR="00B67A67" w:rsidRDefault="00000000">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专业名称</w:t>
            </w:r>
          </w:p>
        </w:tc>
        <w:tc>
          <w:tcPr>
            <w:tcW w:w="780" w:type="dxa"/>
            <w:tcBorders>
              <w:tl2br w:val="nil"/>
              <w:tr2bl w:val="nil"/>
            </w:tcBorders>
            <w:vAlign w:val="center"/>
          </w:tcPr>
          <w:p w14:paraId="363EB744" w14:textId="77777777" w:rsidR="00B67A67" w:rsidRDefault="00000000">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科类</w:t>
            </w:r>
          </w:p>
        </w:tc>
        <w:tc>
          <w:tcPr>
            <w:tcW w:w="991" w:type="dxa"/>
            <w:tcBorders>
              <w:tl2br w:val="nil"/>
              <w:tr2bl w:val="nil"/>
            </w:tcBorders>
            <w:vAlign w:val="center"/>
          </w:tcPr>
          <w:p w14:paraId="1F0989F7" w14:textId="77777777" w:rsidR="00B67A67" w:rsidRDefault="00000000">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计划数</w:t>
            </w:r>
          </w:p>
        </w:tc>
        <w:tc>
          <w:tcPr>
            <w:tcW w:w="736" w:type="dxa"/>
            <w:tcBorders>
              <w:tl2br w:val="nil"/>
              <w:tr2bl w:val="nil"/>
            </w:tcBorders>
            <w:vAlign w:val="center"/>
          </w:tcPr>
          <w:p w14:paraId="4BFE8F8A" w14:textId="77777777" w:rsidR="00B67A67" w:rsidRDefault="00000000">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学制</w:t>
            </w:r>
          </w:p>
        </w:tc>
        <w:tc>
          <w:tcPr>
            <w:tcW w:w="2766" w:type="dxa"/>
            <w:tcBorders>
              <w:tl2br w:val="nil"/>
              <w:tr2bl w:val="nil"/>
            </w:tcBorders>
            <w:vAlign w:val="center"/>
          </w:tcPr>
          <w:p w14:paraId="7FD56D8E" w14:textId="77777777" w:rsidR="00B67A67" w:rsidRDefault="00000000">
            <w:pPr>
              <w:pStyle w:val="a6"/>
              <w:widowControl/>
              <w:spacing w:beforeAutospacing="0" w:afterAutospacing="0" w:line="375" w:lineRule="atLeast"/>
              <w:jc w:val="center"/>
              <w:rPr>
                <w:rFonts w:ascii="仿宋_GB2312" w:eastAsia="仿宋_GB2312" w:hAnsi="Calibri"/>
                <w:b/>
                <w:bCs/>
                <w:color w:val="101010"/>
                <w:kern w:val="2"/>
                <w:shd w:val="clear" w:color="auto" w:fill="FFFFFF"/>
              </w:rPr>
            </w:pPr>
            <w:r>
              <w:rPr>
                <w:rFonts w:ascii="仿宋_GB2312" w:eastAsia="仿宋_GB2312" w:hAnsi="Calibri" w:hint="eastAsia"/>
                <w:b/>
                <w:bCs/>
                <w:color w:val="101010"/>
                <w:kern w:val="2"/>
                <w:shd w:val="clear" w:color="auto" w:fill="FFFFFF"/>
              </w:rPr>
              <w:t>专业要求</w:t>
            </w:r>
          </w:p>
        </w:tc>
      </w:tr>
      <w:tr w:rsidR="00B67A67" w14:paraId="61567480" w14:textId="77777777">
        <w:trPr>
          <w:trHeight w:val="374"/>
          <w:jc w:val="center"/>
        </w:trPr>
        <w:tc>
          <w:tcPr>
            <w:tcW w:w="3732" w:type="dxa"/>
            <w:tcBorders>
              <w:tl2br w:val="nil"/>
              <w:tr2bl w:val="nil"/>
            </w:tcBorders>
            <w:vAlign w:val="center"/>
          </w:tcPr>
          <w:p w14:paraId="51C6E506"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机械电子工程</w:t>
            </w:r>
          </w:p>
        </w:tc>
        <w:tc>
          <w:tcPr>
            <w:tcW w:w="780" w:type="dxa"/>
            <w:tcBorders>
              <w:tl2br w:val="nil"/>
              <w:tr2bl w:val="nil"/>
            </w:tcBorders>
            <w:vAlign w:val="center"/>
          </w:tcPr>
          <w:p w14:paraId="564CF60A"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91" w:type="dxa"/>
            <w:tcBorders>
              <w:tl2br w:val="nil"/>
              <w:tr2bl w:val="nil"/>
            </w:tcBorders>
            <w:vAlign w:val="center"/>
          </w:tcPr>
          <w:p w14:paraId="6187B5D2"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90</w:t>
            </w:r>
          </w:p>
        </w:tc>
        <w:tc>
          <w:tcPr>
            <w:tcW w:w="736" w:type="dxa"/>
            <w:tcBorders>
              <w:tl2br w:val="nil"/>
              <w:tr2bl w:val="nil"/>
            </w:tcBorders>
            <w:vAlign w:val="center"/>
          </w:tcPr>
          <w:p w14:paraId="2E57317A"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两年</w:t>
            </w:r>
          </w:p>
        </w:tc>
        <w:tc>
          <w:tcPr>
            <w:tcW w:w="2766" w:type="dxa"/>
            <w:vMerge w:val="restart"/>
            <w:tcBorders>
              <w:tl2br w:val="nil"/>
              <w:tr2bl w:val="nil"/>
            </w:tcBorders>
            <w:vAlign w:val="center"/>
          </w:tcPr>
          <w:p w14:paraId="6211D648" w14:textId="77777777" w:rsidR="00B67A67" w:rsidRDefault="00000000">
            <w:pPr>
              <w:pStyle w:val="a6"/>
              <w:widowControl/>
              <w:spacing w:beforeAutospacing="0" w:afterAutospacing="0" w:line="300" w:lineRule="exac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均对高职就读专业有要求，请登录学校招生信息网“考生必读”栏目《天津中德应用技术大学202</w:t>
            </w:r>
            <w:r>
              <w:rPr>
                <w:rFonts w:ascii="仿宋_GB2312" w:eastAsia="仿宋_GB2312" w:hAnsi="Calibri"/>
                <w:color w:val="101010"/>
                <w:kern w:val="2"/>
                <w:shd w:val="clear" w:color="auto" w:fill="FFFFFF"/>
              </w:rPr>
              <w:t>4</w:t>
            </w:r>
            <w:r>
              <w:rPr>
                <w:rFonts w:ascii="仿宋_GB2312" w:eastAsia="仿宋_GB2312" w:hAnsi="Calibri" w:hint="eastAsia"/>
                <w:color w:val="101010"/>
                <w:kern w:val="2"/>
                <w:shd w:val="clear" w:color="auto" w:fill="FFFFFF"/>
              </w:rPr>
              <w:t>年高职升本科招生考试考生须知》查询</w:t>
            </w:r>
          </w:p>
        </w:tc>
      </w:tr>
      <w:tr w:rsidR="00B67A67" w14:paraId="3B62304D" w14:textId="77777777">
        <w:trPr>
          <w:jc w:val="center"/>
        </w:trPr>
        <w:tc>
          <w:tcPr>
            <w:tcW w:w="3732" w:type="dxa"/>
            <w:tcBorders>
              <w:tl2br w:val="nil"/>
              <w:tr2bl w:val="nil"/>
            </w:tcBorders>
            <w:vAlign w:val="center"/>
          </w:tcPr>
          <w:p w14:paraId="4CC0455D"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自动化</w:t>
            </w:r>
          </w:p>
        </w:tc>
        <w:tc>
          <w:tcPr>
            <w:tcW w:w="780" w:type="dxa"/>
            <w:tcBorders>
              <w:tl2br w:val="nil"/>
              <w:tr2bl w:val="nil"/>
            </w:tcBorders>
            <w:vAlign w:val="center"/>
          </w:tcPr>
          <w:p w14:paraId="0731EC16"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91" w:type="dxa"/>
            <w:tcBorders>
              <w:tl2br w:val="nil"/>
              <w:tr2bl w:val="nil"/>
            </w:tcBorders>
            <w:vAlign w:val="center"/>
          </w:tcPr>
          <w:p w14:paraId="213ABFAB"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60</w:t>
            </w:r>
          </w:p>
        </w:tc>
        <w:tc>
          <w:tcPr>
            <w:tcW w:w="736" w:type="dxa"/>
            <w:tcBorders>
              <w:tl2br w:val="nil"/>
              <w:tr2bl w:val="nil"/>
            </w:tcBorders>
            <w:vAlign w:val="center"/>
          </w:tcPr>
          <w:p w14:paraId="65D7B505"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两年</w:t>
            </w:r>
          </w:p>
        </w:tc>
        <w:tc>
          <w:tcPr>
            <w:tcW w:w="2766" w:type="dxa"/>
            <w:vMerge/>
            <w:tcBorders>
              <w:tl2br w:val="nil"/>
              <w:tr2bl w:val="nil"/>
            </w:tcBorders>
            <w:vAlign w:val="center"/>
          </w:tcPr>
          <w:p w14:paraId="1F487FF9" w14:textId="77777777" w:rsidR="00B67A67" w:rsidRDefault="00B67A67">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r w:rsidR="00B67A67" w14:paraId="6D9E42C8" w14:textId="77777777">
        <w:trPr>
          <w:jc w:val="center"/>
        </w:trPr>
        <w:tc>
          <w:tcPr>
            <w:tcW w:w="3732" w:type="dxa"/>
            <w:tcBorders>
              <w:tl2br w:val="nil"/>
              <w:tr2bl w:val="nil"/>
            </w:tcBorders>
            <w:vAlign w:val="center"/>
          </w:tcPr>
          <w:p w14:paraId="40E3C055"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飞行器制造工程</w:t>
            </w:r>
          </w:p>
        </w:tc>
        <w:tc>
          <w:tcPr>
            <w:tcW w:w="780" w:type="dxa"/>
            <w:tcBorders>
              <w:tl2br w:val="nil"/>
              <w:tr2bl w:val="nil"/>
            </w:tcBorders>
            <w:vAlign w:val="center"/>
          </w:tcPr>
          <w:p w14:paraId="7C5645DB"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91" w:type="dxa"/>
            <w:tcBorders>
              <w:tl2br w:val="nil"/>
              <w:tr2bl w:val="nil"/>
            </w:tcBorders>
            <w:vAlign w:val="center"/>
          </w:tcPr>
          <w:p w14:paraId="14C2DF9E"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60</w:t>
            </w:r>
          </w:p>
        </w:tc>
        <w:tc>
          <w:tcPr>
            <w:tcW w:w="736" w:type="dxa"/>
            <w:tcBorders>
              <w:tl2br w:val="nil"/>
              <w:tr2bl w:val="nil"/>
            </w:tcBorders>
            <w:vAlign w:val="center"/>
          </w:tcPr>
          <w:p w14:paraId="13096A05"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两年</w:t>
            </w:r>
          </w:p>
        </w:tc>
        <w:tc>
          <w:tcPr>
            <w:tcW w:w="2766" w:type="dxa"/>
            <w:vMerge/>
            <w:tcBorders>
              <w:tl2br w:val="nil"/>
              <w:tr2bl w:val="nil"/>
            </w:tcBorders>
            <w:vAlign w:val="center"/>
          </w:tcPr>
          <w:p w14:paraId="6B350F71" w14:textId="77777777" w:rsidR="00B67A67" w:rsidRDefault="00B67A67">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r w:rsidR="00B67A67" w14:paraId="3A730417" w14:textId="77777777">
        <w:trPr>
          <w:jc w:val="center"/>
        </w:trPr>
        <w:tc>
          <w:tcPr>
            <w:tcW w:w="3732" w:type="dxa"/>
            <w:tcBorders>
              <w:tl2br w:val="nil"/>
              <w:tr2bl w:val="nil"/>
            </w:tcBorders>
            <w:vAlign w:val="center"/>
          </w:tcPr>
          <w:p w14:paraId="6B74DFAD"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通信工程</w:t>
            </w:r>
          </w:p>
        </w:tc>
        <w:tc>
          <w:tcPr>
            <w:tcW w:w="780" w:type="dxa"/>
            <w:tcBorders>
              <w:tl2br w:val="nil"/>
              <w:tr2bl w:val="nil"/>
            </w:tcBorders>
            <w:vAlign w:val="center"/>
          </w:tcPr>
          <w:p w14:paraId="7DB5D4C6"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91" w:type="dxa"/>
            <w:tcBorders>
              <w:tl2br w:val="nil"/>
              <w:tr2bl w:val="nil"/>
            </w:tcBorders>
            <w:vAlign w:val="center"/>
          </w:tcPr>
          <w:p w14:paraId="43B0A38B"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60</w:t>
            </w:r>
          </w:p>
        </w:tc>
        <w:tc>
          <w:tcPr>
            <w:tcW w:w="736" w:type="dxa"/>
            <w:tcBorders>
              <w:tl2br w:val="nil"/>
              <w:tr2bl w:val="nil"/>
            </w:tcBorders>
            <w:vAlign w:val="center"/>
          </w:tcPr>
          <w:p w14:paraId="6A7EEFD3"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两年</w:t>
            </w:r>
          </w:p>
        </w:tc>
        <w:tc>
          <w:tcPr>
            <w:tcW w:w="2766" w:type="dxa"/>
            <w:vMerge/>
            <w:tcBorders>
              <w:tl2br w:val="nil"/>
              <w:tr2bl w:val="nil"/>
            </w:tcBorders>
            <w:vAlign w:val="center"/>
          </w:tcPr>
          <w:p w14:paraId="22C353CF" w14:textId="77777777" w:rsidR="00B67A67" w:rsidRDefault="00B67A67">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r w:rsidR="00B67A67" w14:paraId="71101B13" w14:textId="77777777">
        <w:trPr>
          <w:jc w:val="center"/>
        </w:trPr>
        <w:tc>
          <w:tcPr>
            <w:tcW w:w="3732" w:type="dxa"/>
            <w:tcBorders>
              <w:tl2br w:val="nil"/>
              <w:tr2bl w:val="nil"/>
            </w:tcBorders>
            <w:vAlign w:val="center"/>
          </w:tcPr>
          <w:p w14:paraId="6970C2AA"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物流管理</w:t>
            </w:r>
          </w:p>
        </w:tc>
        <w:tc>
          <w:tcPr>
            <w:tcW w:w="780" w:type="dxa"/>
            <w:tcBorders>
              <w:tl2br w:val="nil"/>
              <w:tr2bl w:val="nil"/>
            </w:tcBorders>
            <w:vAlign w:val="center"/>
          </w:tcPr>
          <w:p w14:paraId="25E8EB92"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91" w:type="dxa"/>
            <w:tcBorders>
              <w:tl2br w:val="nil"/>
              <w:tr2bl w:val="nil"/>
            </w:tcBorders>
            <w:vAlign w:val="center"/>
          </w:tcPr>
          <w:p w14:paraId="73A20485"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60</w:t>
            </w:r>
          </w:p>
        </w:tc>
        <w:tc>
          <w:tcPr>
            <w:tcW w:w="736" w:type="dxa"/>
            <w:tcBorders>
              <w:tl2br w:val="nil"/>
              <w:tr2bl w:val="nil"/>
            </w:tcBorders>
            <w:vAlign w:val="center"/>
          </w:tcPr>
          <w:p w14:paraId="29946345"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两年</w:t>
            </w:r>
          </w:p>
        </w:tc>
        <w:tc>
          <w:tcPr>
            <w:tcW w:w="2766" w:type="dxa"/>
            <w:vMerge/>
            <w:tcBorders>
              <w:tl2br w:val="nil"/>
              <w:tr2bl w:val="nil"/>
            </w:tcBorders>
            <w:vAlign w:val="center"/>
          </w:tcPr>
          <w:p w14:paraId="3CB118C5" w14:textId="77777777" w:rsidR="00B67A67" w:rsidRDefault="00B67A67">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r w:rsidR="00B67A67" w14:paraId="680B7056" w14:textId="77777777">
        <w:trPr>
          <w:jc w:val="center"/>
        </w:trPr>
        <w:tc>
          <w:tcPr>
            <w:tcW w:w="3732" w:type="dxa"/>
            <w:tcBorders>
              <w:tl2br w:val="nil"/>
              <w:tr2bl w:val="nil"/>
            </w:tcBorders>
            <w:vAlign w:val="center"/>
          </w:tcPr>
          <w:p w14:paraId="11EB9C1F"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机械电子工程（技能</w:t>
            </w:r>
            <w:proofErr w:type="gramStart"/>
            <w:r>
              <w:rPr>
                <w:rFonts w:ascii="仿宋_GB2312" w:eastAsia="仿宋_GB2312" w:hAnsi="Calibri" w:hint="eastAsia"/>
                <w:color w:val="101010"/>
                <w:kern w:val="2"/>
                <w:shd w:val="clear" w:color="auto" w:fill="FFFFFF"/>
              </w:rPr>
              <w:t>大赛推免班</w:t>
            </w:r>
            <w:proofErr w:type="gramEnd"/>
            <w:r>
              <w:rPr>
                <w:rFonts w:ascii="仿宋_GB2312" w:eastAsia="仿宋_GB2312" w:hAnsi="Calibri" w:hint="eastAsia"/>
                <w:color w:val="101010"/>
                <w:kern w:val="2"/>
                <w:shd w:val="clear" w:color="auto" w:fill="FFFFFF"/>
              </w:rPr>
              <w:t>）</w:t>
            </w:r>
          </w:p>
        </w:tc>
        <w:tc>
          <w:tcPr>
            <w:tcW w:w="780" w:type="dxa"/>
            <w:tcBorders>
              <w:tl2br w:val="nil"/>
              <w:tr2bl w:val="nil"/>
            </w:tcBorders>
            <w:vAlign w:val="center"/>
          </w:tcPr>
          <w:p w14:paraId="16D0FA40"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91" w:type="dxa"/>
            <w:vMerge w:val="restart"/>
            <w:tcBorders>
              <w:tl2br w:val="nil"/>
              <w:tr2bl w:val="nil"/>
            </w:tcBorders>
            <w:vAlign w:val="center"/>
          </w:tcPr>
          <w:p w14:paraId="6A1D2A6F"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w:t>
            </w:r>
          </w:p>
        </w:tc>
        <w:tc>
          <w:tcPr>
            <w:tcW w:w="736" w:type="dxa"/>
            <w:tcBorders>
              <w:tl2br w:val="nil"/>
              <w:tr2bl w:val="nil"/>
            </w:tcBorders>
            <w:vAlign w:val="center"/>
          </w:tcPr>
          <w:p w14:paraId="7BF1E592"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两年</w:t>
            </w:r>
          </w:p>
        </w:tc>
        <w:tc>
          <w:tcPr>
            <w:tcW w:w="2766" w:type="dxa"/>
            <w:vMerge w:val="restart"/>
            <w:tcBorders>
              <w:tl2br w:val="nil"/>
              <w:tr2bl w:val="nil"/>
            </w:tcBorders>
            <w:vAlign w:val="center"/>
          </w:tcPr>
          <w:p w14:paraId="0A011EE8" w14:textId="77777777" w:rsidR="00B67A67" w:rsidRDefault="00000000">
            <w:pPr>
              <w:pStyle w:val="a6"/>
              <w:widowControl/>
              <w:spacing w:beforeAutospacing="0" w:afterAutospacing="0" w:line="300" w:lineRule="exac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按市教委相关要求执行</w:t>
            </w:r>
          </w:p>
        </w:tc>
      </w:tr>
      <w:tr w:rsidR="00B67A67" w14:paraId="1B00F680" w14:textId="77777777">
        <w:trPr>
          <w:jc w:val="center"/>
        </w:trPr>
        <w:tc>
          <w:tcPr>
            <w:tcW w:w="3732" w:type="dxa"/>
            <w:tcBorders>
              <w:tl2br w:val="nil"/>
              <w:tr2bl w:val="nil"/>
            </w:tcBorders>
            <w:vAlign w:val="center"/>
          </w:tcPr>
          <w:p w14:paraId="19E18D14"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自动化（技能</w:t>
            </w:r>
            <w:proofErr w:type="gramStart"/>
            <w:r>
              <w:rPr>
                <w:rFonts w:ascii="仿宋_GB2312" w:eastAsia="仿宋_GB2312" w:hAnsi="Calibri" w:hint="eastAsia"/>
                <w:color w:val="101010"/>
                <w:kern w:val="2"/>
                <w:shd w:val="clear" w:color="auto" w:fill="FFFFFF"/>
              </w:rPr>
              <w:t>大赛推免班</w:t>
            </w:r>
            <w:proofErr w:type="gramEnd"/>
            <w:r>
              <w:rPr>
                <w:rFonts w:ascii="仿宋_GB2312" w:eastAsia="仿宋_GB2312" w:hAnsi="Calibri" w:hint="eastAsia"/>
                <w:color w:val="101010"/>
                <w:kern w:val="2"/>
                <w:shd w:val="clear" w:color="auto" w:fill="FFFFFF"/>
              </w:rPr>
              <w:t>）</w:t>
            </w:r>
          </w:p>
        </w:tc>
        <w:tc>
          <w:tcPr>
            <w:tcW w:w="780" w:type="dxa"/>
            <w:tcBorders>
              <w:tl2br w:val="nil"/>
              <w:tr2bl w:val="nil"/>
            </w:tcBorders>
            <w:vAlign w:val="center"/>
          </w:tcPr>
          <w:p w14:paraId="7CEDF913"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理科</w:t>
            </w:r>
          </w:p>
        </w:tc>
        <w:tc>
          <w:tcPr>
            <w:tcW w:w="991" w:type="dxa"/>
            <w:vMerge/>
            <w:tcBorders>
              <w:tl2br w:val="nil"/>
              <w:tr2bl w:val="nil"/>
            </w:tcBorders>
            <w:vAlign w:val="center"/>
          </w:tcPr>
          <w:p w14:paraId="507952AD" w14:textId="77777777" w:rsidR="00B67A67" w:rsidRDefault="00B67A67">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c>
          <w:tcPr>
            <w:tcW w:w="736" w:type="dxa"/>
            <w:tcBorders>
              <w:tl2br w:val="nil"/>
              <w:tr2bl w:val="nil"/>
            </w:tcBorders>
            <w:vAlign w:val="center"/>
          </w:tcPr>
          <w:p w14:paraId="59658B97" w14:textId="77777777" w:rsidR="00B67A67" w:rsidRDefault="00000000">
            <w:pPr>
              <w:pStyle w:val="a6"/>
              <w:widowControl/>
              <w:spacing w:beforeAutospacing="0" w:afterAutospacing="0" w:line="375" w:lineRule="atLeast"/>
              <w:jc w:val="center"/>
              <w:rPr>
                <w:rFonts w:ascii="仿宋_GB2312" w:eastAsia="仿宋_GB2312" w:hAnsi="Calibri"/>
                <w:color w:val="101010"/>
                <w:kern w:val="2"/>
                <w:shd w:val="clear" w:color="auto" w:fill="FFFFFF"/>
              </w:rPr>
            </w:pPr>
            <w:r>
              <w:rPr>
                <w:rFonts w:ascii="仿宋_GB2312" w:eastAsia="仿宋_GB2312" w:hAnsi="Calibri" w:hint="eastAsia"/>
                <w:color w:val="101010"/>
                <w:kern w:val="2"/>
                <w:shd w:val="clear" w:color="auto" w:fill="FFFFFF"/>
              </w:rPr>
              <w:t>两年</w:t>
            </w:r>
          </w:p>
        </w:tc>
        <w:tc>
          <w:tcPr>
            <w:tcW w:w="2766" w:type="dxa"/>
            <w:vMerge/>
            <w:tcBorders>
              <w:tl2br w:val="nil"/>
              <w:tr2bl w:val="nil"/>
            </w:tcBorders>
            <w:vAlign w:val="center"/>
          </w:tcPr>
          <w:p w14:paraId="27A90A68" w14:textId="77777777" w:rsidR="00B67A67" w:rsidRDefault="00B67A67">
            <w:pPr>
              <w:pStyle w:val="a6"/>
              <w:widowControl/>
              <w:spacing w:beforeAutospacing="0" w:afterAutospacing="0" w:line="375" w:lineRule="atLeast"/>
              <w:jc w:val="center"/>
              <w:rPr>
                <w:rFonts w:ascii="仿宋_GB2312" w:eastAsia="仿宋_GB2312" w:hAnsi="Calibri"/>
                <w:color w:val="101010"/>
                <w:kern w:val="2"/>
                <w:shd w:val="clear" w:color="auto" w:fill="FFFFFF"/>
              </w:rPr>
            </w:pPr>
          </w:p>
        </w:tc>
      </w:tr>
    </w:tbl>
    <w:p w14:paraId="0EFD4141" w14:textId="77777777" w:rsidR="00B67A67" w:rsidRDefault="00B67A67">
      <w:pPr>
        <w:pStyle w:val="a6"/>
        <w:widowControl/>
        <w:spacing w:beforeAutospacing="0" w:afterAutospacing="0" w:line="375" w:lineRule="atLeast"/>
        <w:ind w:firstLineChars="200" w:firstLine="480"/>
        <w:rPr>
          <w:rFonts w:ascii="仿宋_GB2312" w:eastAsia="仿宋_GB2312" w:hAnsi="Calibri"/>
          <w:color w:val="101010"/>
          <w:kern w:val="2"/>
          <w:shd w:val="clear" w:color="auto" w:fill="FFFFFF"/>
        </w:rPr>
      </w:pPr>
    </w:p>
    <w:p w14:paraId="24BD094C" w14:textId="77777777" w:rsidR="00B67A67" w:rsidRDefault="00000000">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仿宋_GB2312" w:eastAsia="仿宋_GB2312" w:hAnsi="Calibri" w:cs="仿宋_GB2312" w:hint="eastAsia"/>
          <w:color w:val="101010"/>
          <w:kern w:val="2"/>
          <w:sz w:val="32"/>
          <w:szCs w:val="32"/>
          <w:shd w:val="clear" w:color="auto" w:fill="FFFFFF"/>
        </w:rPr>
        <w:t>专业课报名及考试安排详见学校招办网站发布的《天津中德应用技术大学2024年高职升本科专业课报名确认及考试通知》。</w:t>
      </w:r>
    </w:p>
    <w:p w14:paraId="031A624F" w14:textId="77777777" w:rsidR="00B67A67" w:rsidRDefault="00000000">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第九条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天津市高等职业院校应届毕业生，在校学习期间，参加高职院校技能大赛，获得奖项符合天津市教委相关规定且符合天津市教委批准免试推荐项目的，可免试推荐到我校机械电子工程、自动化本科专业学习。符合免试推荐的考生，按天津市教委相关规定履行相关手续。</w:t>
      </w:r>
    </w:p>
    <w:p w14:paraId="263A1EEF" w14:textId="77777777" w:rsidR="00B67A67" w:rsidRDefault="00000000">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lastRenderedPageBreak/>
        <w:t>第十条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学费标准：物流管理专业学费为</w:t>
      </w:r>
      <w:r>
        <w:rPr>
          <w:rFonts w:ascii="仿宋_GB2312" w:eastAsia="仿宋_GB2312" w:hAnsi="Calibri" w:hint="eastAsia"/>
          <w:color w:val="101010"/>
          <w:kern w:val="2"/>
          <w:sz w:val="32"/>
          <w:szCs w:val="32"/>
          <w:shd w:val="clear" w:color="auto" w:fill="FFFFFF"/>
        </w:rPr>
        <w:t>4400 元/年，机械电子工程、自动化、飞行器制造工程、通信工程、机械电子工程（技能</w:t>
      </w:r>
      <w:proofErr w:type="gramStart"/>
      <w:r>
        <w:rPr>
          <w:rFonts w:ascii="仿宋_GB2312" w:eastAsia="仿宋_GB2312" w:hAnsi="Calibri" w:hint="eastAsia"/>
          <w:color w:val="101010"/>
          <w:kern w:val="2"/>
          <w:sz w:val="32"/>
          <w:szCs w:val="32"/>
          <w:shd w:val="clear" w:color="auto" w:fill="FFFFFF"/>
        </w:rPr>
        <w:t>大赛推免班</w:t>
      </w:r>
      <w:proofErr w:type="gramEnd"/>
      <w:r>
        <w:rPr>
          <w:rFonts w:ascii="仿宋_GB2312" w:eastAsia="仿宋_GB2312" w:hAnsi="Calibri" w:hint="eastAsia"/>
          <w:color w:val="101010"/>
          <w:kern w:val="2"/>
          <w:sz w:val="32"/>
          <w:szCs w:val="32"/>
          <w:shd w:val="clear" w:color="auto" w:fill="FFFFFF"/>
        </w:rPr>
        <w:t>）、自动化（技能</w:t>
      </w:r>
      <w:proofErr w:type="gramStart"/>
      <w:r>
        <w:rPr>
          <w:rFonts w:ascii="仿宋_GB2312" w:eastAsia="仿宋_GB2312" w:hAnsi="Calibri" w:hint="eastAsia"/>
          <w:color w:val="101010"/>
          <w:kern w:val="2"/>
          <w:sz w:val="32"/>
          <w:szCs w:val="32"/>
          <w:shd w:val="clear" w:color="auto" w:fill="FFFFFF"/>
        </w:rPr>
        <w:t>大赛推免班</w:t>
      </w:r>
      <w:proofErr w:type="gramEnd"/>
      <w:r>
        <w:rPr>
          <w:rFonts w:ascii="仿宋_GB2312" w:eastAsia="仿宋_GB2312" w:hAnsi="Calibri" w:hint="eastAsia"/>
          <w:color w:val="101010"/>
          <w:kern w:val="2"/>
          <w:sz w:val="32"/>
          <w:szCs w:val="32"/>
          <w:shd w:val="clear" w:color="auto" w:fill="FFFFFF"/>
        </w:rPr>
        <w:t>）等专业学费为5400 元/年，如政府对当年度学费标准进行调整，以政府规定的标准为准。</w:t>
      </w:r>
    </w:p>
    <w:p w14:paraId="1EC16D14" w14:textId="77777777" w:rsidR="00B67A67" w:rsidRDefault="00000000">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t>第四章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录取规则</w:t>
      </w:r>
    </w:p>
    <w:p w14:paraId="7D824FDC"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第十一条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我校招生录取工作遵循公平竞争、公正选拔、公开程序的原则</w:t>
      </w:r>
      <w:r>
        <w:rPr>
          <w:rFonts w:ascii="仿宋_GB2312" w:eastAsia="仿宋_GB2312" w:hAnsi="Calibri" w:hint="eastAsia"/>
          <w:color w:val="101010"/>
          <w:kern w:val="2"/>
          <w:sz w:val="32"/>
          <w:szCs w:val="32"/>
          <w:shd w:val="clear" w:color="auto" w:fill="FFFFFF"/>
        </w:rPr>
        <w:t>; 执行国家教育部、天津市招生委员会制定的录取政策和本章程的相关规定; 以考生填报的志愿和参加天津市2024年高职升本科文化课、专业课考试的总成绩，择优录取。</w:t>
      </w:r>
    </w:p>
    <w:p w14:paraId="0B3EA296" w14:textId="77777777" w:rsidR="00B67A67" w:rsidRDefault="00000000">
      <w:pPr>
        <w:pStyle w:val="a6"/>
        <w:widowControl/>
        <w:spacing w:beforeAutospacing="0" w:afterAutospacing="0" w:line="375" w:lineRule="atLeast"/>
        <w:ind w:firstLineChars="200" w:firstLine="640"/>
        <w:jc w:val="both"/>
        <w:rPr>
          <w:rFonts w:ascii="仿宋_GB2312" w:eastAsia="仿宋_GB2312" w:hAnsi="Calibri"/>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第十二条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报考我校考生</w:t>
      </w:r>
      <w:r>
        <w:rPr>
          <w:rFonts w:ascii="仿宋_GB2312" w:eastAsia="仿宋_GB2312" w:hAnsi="Calibri" w:hint="eastAsia"/>
          <w:color w:val="101010"/>
          <w:kern w:val="2"/>
          <w:sz w:val="32"/>
          <w:szCs w:val="32"/>
          <w:shd w:val="clear" w:color="auto" w:fill="FFFFFF"/>
        </w:rPr>
        <w:t>(技能大赛推荐免试除外)必须参加我校的专业课考试，否则不予录取。考生只能填报我校一个专业志愿，专业志愿之间不能调剂，重复填报我校专业志愿的填报信息无效。符合免试专升本条件，免予参加文化课考试的退役大学生士兵（2024年3月退役的符合条件的大学生士兵，单独组织一次报名，报名时间另行通知），须符合我校专业报考要求，参加我校组织的专业课考试，专业课考试成绩60分（含）以上为合格（满分200分）。</w:t>
      </w:r>
    </w:p>
    <w:p w14:paraId="7CF00B1D" w14:textId="77777777" w:rsidR="00B67A67" w:rsidRDefault="00000000">
      <w:pPr>
        <w:pStyle w:val="a6"/>
        <w:widowControl/>
        <w:spacing w:beforeAutospacing="0" w:afterAutospacing="0" w:line="375" w:lineRule="atLeast"/>
        <w:ind w:firstLineChars="200" w:firstLine="640"/>
        <w:jc w:val="both"/>
        <w:rPr>
          <w:rFonts w:ascii="仿宋_GB2312" w:eastAsia="仿宋_GB2312" w:hAnsi="Calibri"/>
          <w:color w:val="101010"/>
          <w:kern w:val="2"/>
          <w:sz w:val="32"/>
          <w:szCs w:val="32"/>
          <w:shd w:val="clear" w:color="auto" w:fill="FFFFFF"/>
        </w:rPr>
      </w:pPr>
      <w:r>
        <w:rPr>
          <w:rFonts w:ascii="黑体" w:eastAsia="黑体" w:hAnsi="宋体" w:cs="黑体" w:hint="eastAsia"/>
          <w:color w:val="101010"/>
          <w:kern w:val="2"/>
          <w:sz w:val="32"/>
          <w:szCs w:val="32"/>
          <w:shd w:val="clear" w:color="auto" w:fill="FFFFFF"/>
        </w:rPr>
        <w:t>第十三条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总成绩相同时，优先录取文化课成绩较高的考生；文化课成绩仍相同，则按照文化课成绩中数学、英语、计算机顺序</w:t>
      </w:r>
      <w:r>
        <w:rPr>
          <w:rFonts w:ascii="仿宋_GB2312" w:eastAsia="仿宋_GB2312" w:hAnsi="Calibri" w:hint="eastAsia"/>
          <w:color w:val="101010"/>
          <w:kern w:val="2"/>
          <w:sz w:val="32"/>
          <w:szCs w:val="32"/>
          <w:shd w:val="clear" w:color="auto" w:fill="FFFFFF"/>
        </w:rPr>
        <w:t>,优先录取单科成绩较高的考生。</w:t>
      </w:r>
    </w:p>
    <w:p w14:paraId="1FE74156"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第十四条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高职升本科招生专业公共外语课程均为英</w:t>
      </w:r>
      <w:r>
        <w:rPr>
          <w:rFonts w:ascii="仿宋_GB2312" w:eastAsia="仿宋_GB2312" w:hAnsi="Calibri" w:cs="仿宋_GB2312"/>
          <w:color w:val="101010"/>
          <w:kern w:val="2"/>
          <w:sz w:val="32"/>
          <w:szCs w:val="32"/>
          <w:shd w:val="clear" w:color="auto" w:fill="FFFFFF"/>
        </w:rPr>
        <w:t>语，小语种考生慎重填报</w:t>
      </w:r>
      <w:r>
        <w:rPr>
          <w:rFonts w:ascii="仿宋_GB2312" w:eastAsia="仿宋_GB2312" w:hAnsi="Calibri" w:cs="仿宋_GB2312" w:hint="eastAsia"/>
          <w:color w:val="101010"/>
          <w:kern w:val="2"/>
          <w:sz w:val="32"/>
          <w:szCs w:val="32"/>
          <w:shd w:val="clear" w:color="auto" w:fill="FFFFFF"/>
        </w:rPr>
        <w:t>。</w:t>
      </w:r>
    </w:p>
    <w:p w14:paraId="05C24601"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lastRenderedPageBreak/>
        <w:t>第十五条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依照教育部、卫生部、中国残疾人联合会颁布的《普通高等学校招生体检工作指导意见》，对考生身体健康状况进行审查和复查。对不符合标准的，按指导意见的相关规定处理。</w:t>
      </w:r>
    </w:p>
    <w:p w14:paraId="09044BF7"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第十六条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录取结果公布方式</w:t>
      </w:r>
      <w:r>
        <w:rPr>
          <w:rFonts w:ascii="仿宋_GB2312" w:eastAsia="仿宋_GB2312" w:hAnsi="Calibri" w:hint="eastAsia"/>
          <w:color w:val="101010"/>
          <w:kern w:val="2"/>
          <w:sz w:val="32"/>
          <w:szCs w:val="32"/>
          <w:shd w:val="clear" w:color="auto" w:fill="FFFFFF"/>
        </w:rPr>
        <w:t>: 经天津市高等学校招生办公室审核批准录取的考生，通过我校招生网站公布录取结果。录取的考生凭录取通知书按时到校报到，办理相关事宜。</w:t>
      </w:r>
    </w:p>
    <w:p w14:paraId="04E2EDAB" w14:textId="77777777" w:rsidR="00B67A67" w:rsidRDefault="00000000">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t>第五章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后续管理</w:t>
      </w:r>
    </w:p>
    <w:p w14:paraId="10C46FAC"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第十七条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新生入学后，学校将依据教育部有关规定进行新生资格审查和身体复查，复查不合格者，学校将视情况予以处理，直至取消入学资格。对未获得高职</w:t>
      </w:r>
      <w:r>
        <w:rPr>
          <w:rFonts w:ascii="仿宋_GB2312" w:eastAsia="仿宋_GB2312" w:hAnsi="Calibri" w:hint="eastAsia"/>
          <w:color w:val="101010"/>
          <w:kern w:val="2"/>
          <w:sz w:val="32"/>
          <w:szCs w:val="32"/>
          <w:shd w:val="clear" w:color="auto" w:fill="FFFFFF"/>
        </w:rPr>
        <w:t>(高专) 毕业证书的，一律取消录取资格、不予注册学籍。</w:t>
      </w:r>
    </w:p>
    <w:p w14:paraId="5AFCD5F3"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第十八条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高职升本科的教学计划均按照天津中德应用技术大学教学人才培养方案执行。学生按照《天津中德应用技术大学本科学生学籍管理规定》及天津中德应用技术大学学生管理相关规定等规章制度进行管理。</w:t>
      </w:r>
    </w:p>
    <w:p w14:paraId="30A8BB85"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第十九条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学生完成规定学业，经审查达到毕业标准的，颁发天津中德应用技术大学全日制普通高等学校高职升本科毕业证书，对符合天津中德应用技术大学学士学位授予条件的毕业生，授予学士学位。</w:t>
      </w:r>
    </w:p>
    <w:p w14:paraId="542EBAE7"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天津中德应用技术大学设有学生受益面达</w:t>
      </w:r>
      <w:r>
        <w:rPr>
          <w:rFonts w:ascii="仿宋_GB2312" w:eastAsia="仿宋_GB2312" w:hAnsi="Calibri" w:hint="eastAsia"/>
          <w:color w:val="101010"/>
          <w:kern w:val="2"/>
          <w:sz w:val="32"/>
          <w:szCs w:val="32"/>
          <w:shd w:val="clear" w:color="auto" w:fill="FFFFFF"/>
        </w:rPr>
        <w:t>30%以上的奖(助) 学金，并设有国家助学贷款和勤工助学岗位，帮助经济困难的学生完成学业。</w:t>
      </w:r>
    </w:p>
    <w:p w14:paraId="1FC504BD" w14:textId="77777777" w:rsidR="00B67A67" w:rsidRDefault="00B67A67">
      <w:pPr>
        <w:pStyle w:val="a6"/>
        <w:widowControl/>
        <w:spacing w:beforeAutospacing="0" w:afterAutospacing="0" w:line="375" w:lineRule="atLeast"/>
        <w:jc w:val="center"/>
        <w:rPr>
          <w:rStyle w:val="a8"/>
          <w:rFonts w:ascii="黑体" w:eastAsia="黑体" w:hAnsi="宋体" w:cs="黑体"/>
          <w:color w:val="101010"/>
          <w:kern w:val="2"/>
          <w:sz w:val="32"/>
          <w:szCs w:val="32"/>
          <w:shd w:val="clear" w:color="auto" w:fill="FFFFFF"/>
        </w:rPr>
      </w:pPr>
    </w:p>
    <w:p w14:paraId="645391D0" w14:textId="77777777" w:rsidR="00B67A67" w:rsidRDefault="00000000">
      <w:pPr>
        <w:pStyle w:val="a6"/>
        <w:widowControl/>
        <w:spacing w:beforeAutospacing="0" w:afterAutospacing="0" w:line="375" w:lineRule="atLeast"/>
        <w:jc w:val="center"/>
      </w:pPr>
      <w:r>
        <w:rPr>
          <w:rStyle w:val="a8"/>
          <w:rFonts w:ascii="黑体" w:eastAsia="黑体" w:hAnsi="宋体" w:cs="黑体" w:hint="eastAsia"/>
          <w:color w:val="101010"/>
          <w:kern w:val="2"/>
          <w:sz w:val="32"/>
          <w:szCs w:val="32"/>
          <w:shd w:val="clear" w:color="auto" w:fill="FFFFFF"/>
        </w:rPr>
        <w:lastRenderedPageBreak/>
        <w:t>第六章</w:t>
      </w:r>
      <w:r>
        <w:rPr>
          <w:rStyle w:val="a8"/>
          <w:rFonts w:ascii="黑体" w:eastAsia="黑体" w:hAnsi="Calibri" w:hint="eastAsia"/>
          <w:color w:val="101010"/>
          <w:kern w:val="2"/>
          <w:sz w:val="32"/>
          <w:szCs w:val="32"/>
          <w:shd w:val="clear" w:color="auto" w:fill="FFFFFF"/>
        </w:rPr>
        <w:t xml:space="preserve">  </w:t>
      </w:r>
      <w:r>
        <w:rPr>
          <w:rStyle w:val="a8"/>
          <w:rFonts w:ascii="黑体" w:eastAsia="黑体" w:hAnsi="宋体" w:cs="黑体" w:hint="eastAsia"/>
          <w:color w:val="101010"/>
          <w:kern w:val="2"/>
          <w:sz w:val="32"/>
          <w:szCs w:val="32"/>
          <w:shd w:val="clear" w:color="auto" w:fill="FFFFFF"/>
        </w:rPr>
        <w:t>附则</w:t>
      </w:r>
    </w:p>
    <w:p w14:paraId="750DB984"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第二十一条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本章程仅适用于</w:t>
      </w:r>
      <w:r>
        <w:rPr>
          <w:rFonts w:ascii="仿宋_GB2312" w:eastAsia="仿宋_GB2312" w:hAnsi="Calibri" w:hint="eastAsia"/>
          <w:color w:val="101010"/>
          <w:kern w:val="2"/>
          <w:sz w:val="32"/>
          <w:szCs w:val="32"/>
          <w:shd w:val="clear" w:color="auto" w:fill="FFFFFF"/>
        </w:rPr>
        <w:t>2024年天津中德应用技术大学高职升本科招生工作。</w:t>
      </w:r>
    </w:p>
    <w:p w14:paraId="2A92FECE"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第二十二条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本章程自公布起开始执行。</w:t>
      </w:r>
    </w:p>
    <w:p w14:paraId="6445F66E"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第二十三条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招生宣传、咨询、录取工作，统一由学校招生委员会按照本章程和学校的相关规定具体组织实施。</w:t>
      </w:r>
    </w:p>
    <w:p w14:paraId="6B0BD2BE" w14:textId="77777777" w:rsidR="00B67A67" w:rsidRDefault="00000000">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郑重声明：在招生咨询过程中招生咨询人员的个人意见、建议仅作为考生填报志愿的参考，不属学校录取承诺，考生对填报志愿负责；考生和家长也不得以任何形式要求招生咨询人员作任何不符合招生规定的承诺，同时我校不委托任何中介机构或个人进行招生录取活动。对考生及家长因受招生中介机构或个人欺骗而造成的损失，学校概不负责。</w:t>
      </w:r>
    </w:p>
    <w:p w14:paraId="3FA0BBBC"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第二十四条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本章程由天津中德应用技术大学招生办公室负责解释。</w:t>
      </w:r>
    </w:p>
    <w:p w14:paraId="144EE6C1" w14:textId="77777777" w:rsidR="00B67A67" w:rsidRDefault="00000000">
      <w:pPr>
        <w:pStyle w:val="a6"/>
        <w:widowControl/>
        <w:spacing w:beforeAutospacing="0" w:afterAutospacing="0" w:line="375" w:lineRule="atLeast"/>
        <w:ind w:firstLineChars="200" w:firstLine="640"/>
        <w:jc w:val="both"/>
      </w:pPr>
      <w:r>
        <w:rPr>
          <w:rFonts w:ascii="黑体" w:eastAsia="黑体" w:hAnsi="宋体" w:cs="黑体" w:hint="eastAsia"/>
          <w:color w:val="101010"/>
          <w:kern w:val="2"/>
          <w:sz w:val="32"/>
          <w:szCs w:val="32"/>
          <w:shd w:val="clear" w:color="auto" w:fill="FFFFFF"/>
        </w:rPr>
        <w:t>第二十五条</w:t>
      </w:r>
      <w:r>
        <w:rPr>
          <w:rFonts w:ascii="仿宋_GB2312" w:eastAsia="仿宋_GB2312" w:hAnsi="Calibri" w:hint="eastAsia"/>
          <w:color w:val="101010"/>
          <w:kern w:val="2"/>
          <w:sz w:val="32"/>
          <w:szCs w:val="32"/>
          <w:shd w:val="clear" w:color="auto" w:fill="FFFFFF"/>
        </w:rPr>
        <w:t xml:space="preserve">  </w:t>
      </w:r>
      <w:r>
        <w:rPr>
          <w:rFonts w:ascii="仿宋_GB2312" w:eastAsia="仿宋_GB2312" w:hAnsi="Calibri" w:cs="仿宋_GB2312" w:hint="eastAsia"/>
          <w:color w:val="101010"/>
          <w:kern w:val="2"/>
          <w:sz w:val="32"/>
          <w:szCs w:val="32"/>
          <w:shd w:val="clear" w:color="auto" w:fill="FFFFFF"/>
        </w:rPr>
        <w:t>咨询联系方式</w:t>
      </w:r>
    </w:p>
    <w:p w14:paraId="31F72A38" w14:textId="77777777" w:rsidR="00B67A67" w:rsidRDefault="0000000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学校网址：https://www.tsguas.edu.cn</w:t>
      </w:r>
    </w:p>
    <w:p w14:paraId="721B7158" w14:textId="77777777" w:rsidR="00B67A67" w:rsidRDefault="0000000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招生网址：https://zs.tsguas.edu.cn </w:t>
      </w:r>
    </w:p>
    <w:p w14:paraId="21D8365B" w14:textId="77777777" w:rsidR="00B67A67" w:rsidRDefault="0000000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电话：022-28776099、28776655</w:t>
      </w:r>
    </w:p>
    <w:p w14:paraId="7EA9FE6C" w14:textId="77777777" w:rsidR="00B67A67" w:rsidRDefault="0000000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传真：022-28776106</w:t>
      </w:r>
    </w:p>
    <w:p w14:paraId="5A926C5E" w14:textId="77777777" w:rsidR="00B67A67" w:rsidRDefault="0000000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监督电话：022-28771113</w:t>
      </w:r>
    </w:p>
    <w:p w14:paraId="3E544B28" w14:textId="77777777" w:rsidR="00B67A67" w:rsidRDefault="00000000">
      <w:pPr>
        <w:ind w:firstLineChars="200" w:firstLine="600"/>
        <w:rPr>
          <w:rFonts w:asciiTheme="minorEastAsia" w:hAnsiTheme="minorEastAsia" w:cstheme="minorEastAsia"/>
          <w:sz w:val="30"/>
          <w:szCs w:val="30"/>
        </w:rPr>
      </w:pPr>
      <w:r>
        <w:rPr>
          <w:rFonts w:asciiTheme="minorEastAsia" w:hAnsiTheme="minorEastAsia" w:cstheme="minorEastAsia" w:hint="eastAsia"/>
          <w:sz w:val="30"/>
          <w:szCs w:val="30"/>
        </w:rPr>
        <w:t>监督邮箱：jwbgs@tsguas.edu.cn</w:t>
      </w:r>
    </w:p>
    <w:p w14:paraId="42D424C8" w14:textId="77777777" w:rsidR="00B67A67" w:rsidRDefault="00000000">
      <w:pPr>
        <w:pStyle w:val="a6"/>
        <w:widowControl/>
        <w:spacing w:beforeAutospacing="0" w:afterAutospacing="0" w:line="375" w:lineRule="atLeast"/>
        <w:ind w:firstLineChars="200" w:firstLine="640"/>
        <w:jc w:val="both"/>
        <w:rPr>
          <w:rFonts w:ascii="仿宋_GB2312" w:eastAsia="仿宋_GB2312" w:hAnsi="Calibri" w:cs="仿宋_GB2312"/>
          <w:color w:val="101010"/>
          <w:kern w:val="2"/>
          <w:sz w:val="32"/>
          <w:szCs w:val="32"/>
          <w:shd w:val="clear" w:color="auto" w:fill="FFFFFF"/>
        </w:rPr>
      </w:pPr>
      <w:r>
        <w:rPr>
          <w:rFonts w:ascii="仿宋_GB2312" w:eastAsia="仿宋_GB2312" w:hAnsi="Calibri" w:cs="仿宋_GB2312" w:hint="eastAsia"/>
          <w:color w:val="101010"/>
          <w:kern w:val="2"/>
          <w:sz w:val="32"/>
          <w:szCs w:val="32"/>
          <w:shd w:val="clear" w:color="auto" w:fill="FFFFFF"/>
        </w:rPr>
        <w:t>地址: 天津海河教育</w:t>
      </w:r>
      <w:proofErr w:type="gramStart"/>
      <w:r>
        <w:rPr>
          <w:rFonts w:ascii="仿宋_GB2312" w:eastAsia="仿宋_GB2312" w:hAnsi="Calibri" w:cs="仿宋_GB2312" w:hint="eastAsia"/>
          <w:color w:val="101010"/>
          <w:kern w:val="2"/>
          <w:sz w:val="32"/>
          <w:szCs w:val="32"/>
          <w:shd w:val="clear" w:color="auto" w:fill="FFFFFF"/>
        </w:rPr>
        <w:t>园区雅深路</w:t>
      </w:r>
      <w:proofErr w:type="gramEnd"/>
      <w:r>
        <w:rPr>
          <w:rFonts w:ascii="仿宋_GB2312" w:eastAsia="仿宋_GB2312" w:hAnsi="Calibri" w:cs="仿宋_GB2312" w:hint="eastAsia"/>
          <w:color w:val="101010"/>
          <w:kern w:val="2"/>
          <w:sz w:val="32"/>
          <w:szCs w:val="32"/>
          <w:shd w:val="clear" w:color="auto" w:fill="FFFFFF"/>
        </w:rPr>
        <w:t>2号</w:t>
      </w:r>
    </w:p>
    <w:p w14:paraId="5F93F208" w14:textId="77777777" w:rsidR="00B67A67" w:rsidRDefault="00000000">
      <w:pPr>
        <w:pStyle w:val="a6"/>
        <w:widowControl/>
        <w:spacing w:beforeAutospacing="0" w:afterAutospacing="0" w:line="375" w:lineRule="atLeast"/>
        <w:ind w:firstLineChars="200" w:firstLine="640"/>
        <w:jc w:val="both"/>
      </w:pPr>
      <w:r>
        <w:rPr>
          <w:rFonts w:ascii="仿宋_GB2312" w:eastAsia="仿宋_GB2312" w:hAnsi="Calibri" w:cs="仿宋_GB2312" w:hint="eastAsia"/>
          <w:color w:val="101010"/>
          <w:kern w:val="2"/>
          <w:sz w:val="32"/>
          <w:szCs w:val="32"/>
          <w:shd w:val="clear" w:color="auto" w:fill="FFFFFF"/>
        </w:rPr>
        <w:t>邮编</w:t>
      </w:r>
      <w:r>
        <w:rPr>
          <w:rFonts w:ascii="仿宋_GB2312" w:eastAsia="仿宋_GB2312" w:hAnsi="Calibri" w:hint="eastAsia"/>
          <w:color w:val="101010"/>
          <w:kern w:val="2"/>
          <w:sz w:val="32"/>
          <w:szCs w:val="32"/>
          <w:shd w:val="clear" w:color="auto" w:fill="FFFFFF"/>
        </w:rPr>
        <w:t xml:space="preserve">: 300350 </w:t>
      </w:r>
    </w:p>
    <w:sectPr w:rsidR="00B67A67">
      <w:pgSz w:w="11906" w:h="16838"/>
      <w:pgMar w:top="1417" w:right="1474" w:bottom="1134"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3C64" w14:textId="77777777" w:rsidR="0055244D" w:rsidRDefault="0055244D" w:rsidP="00361FFC">
      <w:r>
        <w:separator/>
      </w:r>
    </w:p>
  </w:endnote>
  <w:endnote w:type="continuationSeparator" w:id="0">
    <w:p w14:paraId="5D4F3343" w14:textId="77777777" w:rsidR="0055244D" w:rsidRDefault="0055244D" w:rsidP="0036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33FFC" w14:textId="77777777" w:rsidR="0055244D" w:rsidRDefault="0055244D" w:rsidP="00361FFC">
      <w:r>
        <w:separator/>
      </w:r>
    </w:p>
  </w:footnote>
  <w:footnote w:type="continuationSeparator" w:id="0">
    <w:p w14:paraId="60B7B7AC" w14:textId="77777777" w:rsidR="0055244D" w:rsidRDefault="0055244D" w:rsidP="00361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AzZDg5ZTg2MjdmMzI1MjQ3NTA4NWVmZThhN2VjMjYifQ=="/>
  </w:docVars>
  <w:rsids>
    <w:rsidRoot w:val="634B06D6"/>
    <w:rsid w:val="002C63DD"/>
    <w:rsid w:val="0032267C"/>
    <w:rsid w:val="00361FFC"/>
    <w:rsid w:val="003726D4"/>
    <w:rsid w:val="0055244D"/>
    <w:rsid w:val="00900CDA"/>
    <w:rsid w:val="00A76770"/>
    <w:rsid w:val="00B67A67"/>
    <w:rsid w:val="00BC4CD7"/>
    <w:rsid w:val="00DA48F0"/>
    <w:rsid w:val="00E776C2"/>
    <w:rsid w:val="00F27CC0"/>
    <w:rsid w:val="00F4535E"/>
    <w:rsid w:val="02C12A7C"/>
    <w:rsid w:val="0E411074"/>
    <w:rsid w:val="0FCC48A4"/>
    <w:rsid w:val="175350C8"/>
    <w:rsid w:val="1B98397D"/>
    <w:rsid w:val="1D702CFE"/>
    <w:rsid w:val="1ED17F14"/>
    <w:rsid w:val="20A60AC2"/>
    <w:rsid w:val="217B7008"/>
    <w:rsid w:val="23542443"/>
    <w:rsid w:val="242D3949"/>
    <w:rsid w:val="289129D5"/>
    <w:rsid w:val="2BE84271"/>
    <w:rsid w:val="2E6A7D67"/>
    <w:rsid w:val="32103CA5"/>
    <w:rsid w:val="330446B7"/>
    <w:rsid w:val="3948033C"/>
    <w:rsid w:val="3A817B62"/>
    <w:rsid w:val="3DA058B0"/>
    <w:rsid w:val="417F54FC"/>
    <w:rsid w:val="45967122"/>
    <w:rsid w:val="49E93CEA"/>
    <w:rsid w:val="4AAC379F"/>
    <w:rsid w:val="4B36755A"/>
    <w:rsid w:val="4B9A770E"/>
    <w:rsid w:val="4C0F2F95"/>
    <w:rsid w:val="4E1424E8"/>
    <w:rsid w:val="4E5A4D57"/>
    <w:rsid w:val="5BB41020"/>
    <w:rsid w:val="634B06D6"/>
    <w:rsid w:val="6632437E"/>
    <w:rsid w:val="693A5662"/>
    <w:rsid w:val="6DA62760"/>
    <w:rsid w:val="6E3D12D3"/>
    <w:rsid w:val="6ED41966"/>
    <w:rsid w:val="71C15DD9"/>
    <w:rsid w:val="763D4518"/>
    <w:rsid w:val="7A373AD9"/>
    <w:rsid w:val="7C5C4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3372C"/>
  <w15:docId w15:val="{8DA7FACD-A7ED-4113-97C6-A3671481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pPr>
    <w:rPr>
      <w:sz w:val="18"/>
      <w:szCs w:val="18"/>
    </w:r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FollowedHyperlink"/>
    <w:basedOn w:val="a0"/>
    <w:qFormat/>
    <w:rPr>
      <w:color w:val="333333"/>
      <w:u w:val="none"/>
    </w:rPr>
  </w:style>
  <w:style w:type="character" w:styleId="aa">
    <w:name w:val="Hyperlink"/>
    <w:basedOn w:val="a0"/>
    <w:qFormat/>
    <w:rPr>
      <w:color w:val="0000FF"/>
      <w:u w:val="single"/>
    </w:rPr>
  </w:style>
  <w:style w:type="paragraph" w:customStyle="1" w:styleId="Style7">
    <w:name w:val="_Style 7"/>
    <w:basedOn w:val="a"/>
    <w:next w:val="a"/>
    <w:qFormat/>
    <w:pPr>
      <w:pBdr>
        <w:bottom w:val="single" w:sz="6" w:space="1" w:color="auto"/>
      </w:pBdr>
      <w:jc w:val="center"/>
    </w:pPr>
    <w:rPr>
      <w:rFonts w:ascii="Arial" w:eastAsia="宋体"/>
      <w:vanish/>
      <w:sz w:val="16"/>
    </w:rPr>
  </w:style>
  <w:style w:type="paragraph" w:customStyle="1" w:styleId="Style8">
    <w:name w:val="_Style 8"/>
    <w:basedOn w:val="a"/>
    <w:next w:val="a"/>
    <w:qFormat/>
    <w:pPr>
      <w:pBdr>
        <w:top w:val="single" w:sz="6" w:space="1" w:color="auto"/>
      </w:pBdr>
      <w:jc w:val="center"/>
    </w:pPr>
    <w:rPr>
      <w:rFonts w:ascii="Arial" w:eastAsia="宋体"/>
      <w:vanish/>
      <w:sz w:val="16"/>
    </w:rPr>
  </w:style>
  <w:style w:type="character" w:customStyle="1" w:styleId="a5">
    <w:name w:val="页眉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484</Words>
  <Characters>2761</Characters>
  <Application>Microsoft Office Word</Application>
  <DocSecurity>0</DocSecurity>
  <Lines>23</Lines>
  <Paragraphs>6</Paragraphs>
  <ScaleCrop>false</ScaleCrop>
  <Company>Lenovo</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薛维忠</dc:creator>
  <cp:lastModifiedBy>KSY</cp:lastModifiedBy>
  <cp:revision>2</cp:revision>
  <dcterms:created xsi:type="dcterms:W3CDTF">2023-11-17T08:29:00Z</dcterms:created>
  <dcterms:modified xsi:type="dcterms:W3CDTF">2023-11-17T08:29:00Z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2845944EF6DA4FBB82F078B21BDF671A_13</vt:lpwstr>
  </property>
</Properties>
</file>