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4F962">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32"/>
          <w:szCs w:val="32"/>
          <w:lang w:val="en-US" w:eastAsia="zh-CN"/>
        </w:rPr>
      </w:pPr>
      <w:r>
        <w:rPr>
          <w:rFonts w:hint="default" w:ascii="Times New Roman" w:hAnsi="Times New Roman" w:eastAsia="宋体" w:cs="Times New Roman"/>
          <w:b/>
          <w:bCs/>
          <w:sz w:val="32"/>
          <w:szCs w:val="32"/>
          <w:lang w:val="en-US" w:eastAsia="zh-CN"/>
        </w:rPr>
        <w:t>湖北理工学院2025年普通专升本《会计基础与实务》</w:t>
      </w:r>
    </w:p>
    <w:p w14:paraId="70EA138F">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32"/>
          <w:szCs w:val="32"/>
          <w:lang w:val="en-US" w:eastAsia="zh-CN"/>
        </w:rPr>
      </w:pPr>
      <w:r>
        <w:rPr>
          <w:rFonts w:hint="default" w:ascii="Times New Roman" w:hAnsi="Times New Roman" w:eastAsia="宋体" w:cs="Times New Roman"/>
          <w:b/>
          <w:bCs/>
          <w:sz w:val="32"/>
          <w:szCs w:val="32"/>
          <w:lang w:val="en-US" w:eastAsia="zh-CN"/>
        </w:rPr>
        <w:t>考试大纲</w:t>
      </w:r>
    </w:p>
    <w:p w14:paraId="53A7D243">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cs="Times New Roman" w:eastAsiaTheme="minorEastAsia"/>
          <w:b/>
          <w:bCs/>
          <w:sz w:val="28"/>
          <w:szCs w:val="28"/>
          <w:lang w:eastAsia="zh-CN"/>
        </w:rPr>
      </w:pPr>
      <w:r>
        <w:rPr>
          <w:rFonts w:hint="default" w:ascii="Times New Roman" w:hAnsi="Times New Roman" w:cs="Times New Roman"/>
          <w:b/>
          <w:bCs/>
          <w:sz w:val="28"/>
          <w:szCs w:val="28"/>
        </w:rPr>
        <w:t>一、课程性质与设置目的</w:t>
      </w:r>
    </w:p>
    <w:p w14:paraId="019883A5">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会计基础与实务</w:t>
      </w:r>
      <w:r>
        <w:rPr>
          <w:rFonts w:hint="default" w:ascii="Times New Roman" w:hAnsi="Times New Roman" w:eastAsia="宋体" w:cs="Times New Roman"/>
          <w:sz w:val="24"/>
          <w:szCs w:val="24"/>
        </w:rPr>
        <w:t>》是</w:t>
      </w:r>
      <w:r>
        <w:rPr>
          <w:rFonts w:hint="default" w:ascii="Times New Roman" w:hAnsi="Times New Roman" w:eastAsia="宋体" w:cs="Times New Roman"/>
          <w:sz w:val="24"/>
          <w:szCs w:val="24"/>
          <w:lang w:val="en-US" w:eastAsia="zh-CN"/>
        </w:rPr>
        <w:t>财务管理</w:t>
      </w:r>
      <w:r>
        <w:rPr>
          <w:rFonts w:hint="default" w:ascii="Times New Roman" w:hAnsi="Times New Roman" w:eastAsia="宋体" w:cs="Times New Roman"/>
          <w:sz w:val="24"/>
          <w:szCs w:val="24"/>
        </w:rPr>
        <w:t>专业核心课程</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主要</w:t>
      </w:r>
      <w:r>
        <w:rPr>
          <w:rFonts w:hint="default" w:ascii="Times New Roman" w:hAnsi="Times New Roman" w:eastAsia="宋体" w:cs="Times New Roman"/>
          <w:color w:val="auto"/>
          <w:sz w:val="24"/>
          <w:szCs w:val="24"/>
        </w:rPr>
        <w:t>包括会计学原理、财务会计学两部分。会计学原理主要阐明会计学的基本理论、基本方法和基本操作技能，明确会计的基本职能、特点及其对象、任务。理解会计要素、科目和账户的相关理论和记账方法及其具体应用；掌握会计凭证、账簿的基本内容和实务操作中的要求，明确会计核算形式的种类和各种会计核算形式的执行程序；能够阅读和编制基本会计报表；了解会计工作的组织、内部管理工作的设置、对会计人员的要求和我国的会计法规体系等等，是进一步学习其他会计课程和有关管理课程的基础。财务会计学这部分是以我国发布的《企业会计准则》、《企业会计制度》及相关国际惯例为依据，对财务会计理论的阐述和财务会计实务的讲析。</w:t>
      </w:r>
    </w:p>
    <w:p w14:paraId="6377C7EC">
      <w:pPr>
        <w:keepNext w:val="0"/>
        <w:keepLines w:val="0"/>
        <w:pageBreakBefore w:val="0"/>
        <w:widowControl w:val="0"/>
        <w:kinsoku/>
        <w:wordWrap/>
        <w:overflowPunct/>
        <w:topLinePunct w:val="0"/>
        <w:autoSpaceDE/>
        <w:autoSpaceDN/>
        <w:bidi w:val="0"/>
        <w:adjustRightInd/>
        <w:snapToGrid/>
        <w:spacing w:line="240" w:lineRule="auto"/>
        <w:ind w:left="0" w:firstLine="360" w:firstLineChars="15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设置这门课程的目的与要求是培养学生系统地掌握会计学的基本理论和方法以及从事财务会计工作应具备的基本知识、基本技能和会计实务的操作能力。</w:t>
      </w:r>
    </w:p>
    <w:p w14:paraId="0652DB6A">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hanging="562" w:hangingChars="200"/>
        <w:textAlignment w:val="auto"/>
        <w:rPr>
          <w:rFonts w:hint="default" w:ascii="Times New Roman" w:hAnsi="Times New Roman" w:cs="Times New Roman"/>
          <w:b/>
          <w:bCs/>
          <w:sz w:val="28"/>
          <w:szCs w:val="28"/>
          <w:lang w:eastAsia="zh-CN"/>
        </w:rPr>
      </w:pPr>
      <w:r>
        <w:rPr>
          <w:rFonts w:hint="default" w:ascii="Times New Roman" w:hAnsi="Times New Roman" w:cs="Times New Roman"/>
          <w:b/>
          <w:bCs/>
          <w:color w:val="000000"/>
          <w:sz w:val="28"/>
          <w:szCs w:val="28"/>
          <w:shd w:val="clear" w:color="auto" w:fill="FFFFFF"/>
        </w:rPr>
        <w:t>考核的基本要求</w:t>
      </w:r>
    </w:p>
    <w:p w14:paraId="3CA08E9A">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textAlignment w:val="auto"/>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auto"/>
          <w:sz w:val="24"/>
          <w:szCs w:val="24"/>
        </w:rPr>
        <w:t>会计学原理部分以考察会计基础知识、基本理论和基本方法为目标，并注重考察会计核算的基本操作技能，包括编制会计分录、记账、试算平衡、期末账项调整、结账和编制会计报表的操作能力和水平。要求学生能懂</w:t>
      </w:r>
      <w:r>
        <w:rPr>
          <w:rFonts w:hint="default" w:ascii="Times New Roman" w:hAnsi="Times New Roman" w:cs="Times New Roman" w:eastAsiaTheme="minorEastAsia"/>
          <w:color w:val="000000"/>
          <w:sz w:val="24"/>
          <w:szCs w:val="24"/>
        </w:rPr>
        <w:t>得所学知识，能在有关问题中认识和再现它们，对基本概念和原理进行分析、说明其区别和联系，能恰当地用实例说明概念和原理，或用概念和原理分析实例。</w:t>
      </w:r>
    </w:p>
    <w:p w14:paraId="5B705C1A">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textAlignment w:val="auto"/>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财务会计学部分旨在考核学生财务会计的基本结构体系及有关会计处理方法的了解和掌握程度。在理解有关财务会计概念理论的同时，重点掌握有关企业会计实务的处理方法。能熟练处理企业各项会计事务、编制并使用企业会计报表、适时适当地为报表使用者提供相关会计信息。</w:t>
      </w:r>
    </w:p>
    <w:p w14:paraId="7B7BEE1F">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cs="Times New Roman"/>
          <w:b/>
          <w:bCs/>
          <w:color w:val="000000"/>
          <w:sz w:val="28"/>
          <w:szCs w:val="28"/>
          <w:shd w:val="clear" w:color="auto" w:fill="FFFFFF"/>
        </w:rPr>
      </w:pPr>
      <w:r>
        <w:rPr>
          <w:rFonts w:hint="default" w:ascii="Times New Roman" w:hAnsi="Times New Roman" w:cs="Times New Roman"/>
          <w:b/>
          <w:bCs/>
          <w:color w:val="000000"/>
          <w:sz w:val="28"/>
          <w:szCs w:val="28"/>
          <w:shd w:val="clear" w:color="auto" w:fill="FFFFFF"/>
        </w:rPr>
        <w:t>三、考核的形式和方法</w:t>
      </w:r>
    </w:p>
    <w:p w14:paraId="32C23078">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考核形式</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闭卷、笔试</w:t>
      </w:r>
      <w:r>
        <w:rPr>
          <w:rFonts w:hint="default" w:ascii="Times New Roman" w:hAnsi="Times New Roman" w:eastAsia="宋体" w:cs="Times New Roman"/>
          <w:sz w:val="24"/>
          <w:szCs w:val="24"/>
          <w:lang w:eastAsia="zh-CN"/>
        </w:rPr>
        <w:t>。</w:t>
      </w:r>
    </w:p>
    <w:p w14:paraId="3191C1F8">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2</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考核方法</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考试时间为120分钟，1</w:t>
      </w:r>
      <w:r>
        <w:rPr>
          <w:rFonts w:hint="default" w:ascii="Times New Roman" w:hAnsi="Times New Roman" w:eastAsia="宋体" w:cs="Times New Roman"/>
          <w:sz w:val="24"/>
          <w:szCs w:val="24"/>
          <w:lang w:val="en-US" w:eastAsia="zh-CN"/>
        </w:rPr>
        <w:t>50</w:t>
      </w:r>
      <w:r>
        <w:rPr>
          <w:rFonts w:hint="default" w:ascii="Times New Roman" w:hAnsi="Times New Roman" w:eastAsia="宋体" w:cs="Times New Roman"/>
          <w:sz w:val="24"/>
          <w:szCs w:val="24"/>
        </w:rPr>
        <w:t>分试卷</w:t>
      </w:r>
      <w:r>
        <w:rPr>
          <w:rFonts w:hint="default" w:ascii="Times New Roman" w:hAnsi="Times New Roman" w:eastAsia="宋体" w:cs="Times New Roman"/>
          <w:sz w:val="24"/>
          <w:szCs w:val="24"/>
          <w:lang w:eastAsia="zh-CN"/>
        </w:rPr>
        <w:t>。</w:t>
      </w:r>
    </w:p>
    <w:p w14:paraId="3322E833">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cs="Times New Roman"/>
          <w:sz w:val="28"/>
          <w:szCs w:val="28"/>
        </w:rPr>
      </w:pPr>
      <w:r>
        <w:rPr>
          <w:rFonts w:hint="default" w:ascii="Times New Roman" w:hAnsi="Times New Roman" w:cs="Times New Roman"/>
          <w:b/>
          <w:bCs/>
          <w:color w:val="000000"/>
          <w:sz w:val="28"/>
          <w:szCs w:val="28"/>
          <w:shd w:val="clear" w:color="auto" w:fill="FFFFFF"/>
        </w:rPr>
        <w:t>四、考核内容</w:t>
      </w:r>
    </w:p>
    <w:p w14:paraId="1BE55790">
      <w:pPr>
        <w:keepNext w:val="0"/>
        <w:keepLines w:val="0"/>
        <w:pageBreakBefore w:val="0"/>
        <w:widowControl w:val="0"/>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 xml:space="preserve">第一章  </w:t>
      </w:r>
      <w:r>
        <w:rPr>
          <w:rFonts w:hint="default" w:ascii="Times New Roman" w:hAnsi="Times New Roman" w:eastAsia="宋体" w:cs="Times New Roman"/>
          <w:b/>
          <w:sz w:val="24"/>
          <w:szCs w:val="24"/>
          <w:lang w:val="en-US" w:eastAsia="zh-CN"/>
        </w:rPr>
        <w:t xml:space="preserve"> </w:t>
      </w:r>
      <w:r>
        <w:rPr>
          <w:rFonts w:hint="default" w:ascii="Times New Roman" w:hAnsi="Times New Roman" w:eastAsia="宋体" w:cs="Times New Roman"/>
          <w:b/>
          <w:sz w:val="24"/>
          <w:szCs w:val="24"/>
        </w:rPr>
        <w:t xml:space="preserve">总论 </w:t>
      </w:r>
    </w:p>
    <w:p w14:paraId="45992C6A">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1、了解会计的起源和发展过程</w:t>
      </w:r>
    </w:p>
    <w:p w14:paraId="67D9E471">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2、掌握会计的含义</w:t>
      </w:r>
    </w:p>
    <w:p w14:paraId="4EBF8E04">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3、重点掌握会计核算的基本前提、会计要素的确认与计量原则</w:t>
      </w:r>
    </w:p>
    <w:p w14:paraId="730B2909">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4、掌握会计对象、基本职能、任务和作用</w:t>
      </w:r>
    </w:p>
    <w:p w14:paraId="27A41A22">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5、掌握会计方法、会计信息质量要求</w:t>
      </w:r>
    </w:p>
    <w:p w14:paraId="5A163263">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 xml:space="preserve"> </w:t>
      </w:r>
      <w:r>
        <w:rPr>
          <w:rFonts w:hint="default" w:ascii="Times New Roman" w:hAnsi="Times New Roman" w:eastAsia="宋体" w:cs="Times New Roman"/>
          <w:b/>
          <w:sz w:val="24"/>
          <w:szCs w:val="24"/>
          <w:lang w:val="en-US" w:eastAsia="zh-CN"/>
        </w:rPr>
        <w:t xml:space="preserve"> </w:t>
      </w:r>
      <w:r>
        <w:rPr>
          <w:rFonts w:hint="default" w:ascii="Times New Roman" w:hAnsi="Times New Roman" w:eastAsia="宋体" w:cs="Times New Roman"/>
          <w:b/>
          <w:sz w:val="24"/>
          <w:szCs w:val="24"/>
        </w:rPr>
        <w:t>账户和复式记账</w:t>
      </w:r>
    </w:p>
    <w:p w14:paraId="40E41A0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了解会计科目设置的原则</w:t>
      </w:r>
    </w:p>
    <w:p w14:paraId="707F709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重点掌握借贷记账法的基本原理</w:t>
      </w:r>
    </w:p>
    <w:p w14:paraId="4C0AB6D7">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3、熟悉会计科目与账户的关系</w:t>
      </w:r>
    </w:p>
    <w:p w14:paraId="5938D8CB">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4、掌握会计科目、账户、会计恒等式、借贷记账法和试算平衡</w:t>
      </w:r>
    </w:p>
    <w:p w14:paraId="680127AE">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5、掌握会计恒等式的原理</w:t>
      </w:r>
    </w:p>
    <w:p w14:paraId="6FEB3F3B">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6、了解会计记账的方法</w:t>
      </w:r>
    </w:p>
    <w:p w14:paraId="18E0D55F">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7、重点掌握运用借贷记账法编制会计分录</w:t>
      </w:r>
    </w:p>
    <w:p w14:paraId="4DFBD0E9">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 xml:space="preserve">  借贷记账法的应用</w:t>
      </w:r>
    </w:p>
    <w:p w14:paraId="644C245E">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1、了解工业制造企业主要经济业务流程</w:t>
      </w:r>
    </w:p>
    <w:p w14:paraId="7280B589">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2、掌握筹资业务、供产销过程、财务成果汇总与分配等业务的核算</w:t>
      </w:r>
    </w:p>
    <w:p w14:paraId="09AB78EA">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3、掌握复试记账原理在主要经济业务核算中的运用 </w:t>
      </w:r>
    </w:p>
    <w:p w14:paraId="59FA14FD">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textAlignment w:val="auto"/>
        <w:rPr>
          <w:rFonts w:hint="default" w:ascii="Times New Roman" w:hAnsi="Times New Roman" w:eastAsia="宋体" w:cs="Times New Roman"/>
          <w:b/>
          <w:sz w:val="24"/>
          <w:szCs w:val="24"/>
        </w:rPr>
      </w:pPr>
      <w:r>
        <w:rPr>
          <w:rFonts w:hint="default" w:ascii="Times New Roman" w:hAnsi="Times New Roman" w:eastAsia="宋体" w:cs="Times New Roman"/>
          <w:sz w:val="24"/>
          <w:szCs w:val="24"/>
        </w:rPr>
        <w:t>4、掌握主要经济业务事项过程中会计分录的编制</w:t>
      </w:r>
    </w:p>
    <w:p w14:paraId="261C0F71">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 xml:space="preserve">  会计凭证的填制和审核</w:t>
      </w:r>
    </w:p>
    <w:p w14:paraId="5218650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了解会计凭证的内容和种类</w:t>
      </w:r>
    </w:p>
    <w:p w14:paraId="68B61C8E">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2、了解凭证保管以及销毁流程</w:t>
      </w:r>
    </w:p>
    <w:p w14:paraId="2D369D4C">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3、掌握会计凭证填制、审核的要求与方法</w:t>
      </w:r>
    </w:p>
    <w:p w14:paraId="64AAD1BA">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b/>
          <w:sz w:val="24"/>
          <w:szCs w:val="24"/>
        </w:rPr>
      </w:pPr>
      <w:r>
        <w:rPr>
          <w:rFonts w:hint="default" w:ascii="Times New Roman" w:hAnsi="Times New Roman" w:eastAsia="宋体" w:cs="Times New Roman"/>
          <w:sz w:val="24"/>
          <w:szCs w:val="24"/>
        </w:rPr>
        <w:t>4、重点掌握原始凭证、记帐凭证的填制与审核</w:t>
      </w:r>
    </w:p>
    <w:p w14:paraId="77537C01">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 xml:space="preserve">  会计账簿的设置和登记</w:t>
      </w:r>
    </w:p>
    <w:p w14:paraId="532B551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了解设置账簿的意义及其在会计核算工作中的作用</w:t>
      </w:r>
    </w:p>
    <w:p w14:paraId="1C82762D">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2、了解账簿的种类及其记账规则</w:t>
      </w:r>
    </w:p>
    <w:p w14:paraId="2A030380">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3、掌握各类账簿的设置和登记方法</w:t>
      </w:r>
    </w:p>
    <w:p w14:paraId="5AE92EA0">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b/>
          <w:sz w:val="24"/>
          <w:szCs w:val="24"/>
        </w:rPr>
      </w:pPr>
      <w:r>
        <w:rPr>
          <w:rFonts w:hint="default" w:ascii="Times New Roman" w:hAnsi="Times New Roman" w:eastAsia="宋体" w:cs="Times New Roman"/>
          <w:sz w:val="24"/>
          <w:szCs w:val="24"/>
        </w:rPr>
        <w:t>4、重点掌握运用错账更正方法更正错账</w:t>
      </w:r>
    </w:p>
    <w:p w14:paraId="661D2968">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 xml:space="preserve">  财产清查</w:t>
      </w:r>
    </w:p>
    <w:p w14:paraId="54005DB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了解财产清查的概念、意义和种类</w:t>
      </w:r>
    </w:p>
    <w:p w14:paraId="756F38EE">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2、掌握各种财产清查的方法</w:t>
      </w:r>
    </w:p>
    <w:p w14:paraId="0B9410BA">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b/>
          <w:sz w:val="24"/>
          <w:szCs w:val="24"/>
        </w:rPr>
      </w:pPr>
      <w:r>
        <w:rPr>
          <w:rFonts w:hint="default" w:ascii="Times New Roman" w:hAnsi="Times New Roman" w:eastAsia="宋体" w:cs="Times New Roman"/>
          <w:sz w:val="24"/>
          <w:szCs w:val="24"/>
        </w:rPr>
        <w:t>3、重点掌握银行存款余额调节表的编制及财产清查的账务处理</w:t>
      </w:r>
    </w:p>
    <w:p w14:paraId="3A490BA5">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 xml:space="preserve">  账务处理程序</w:t>
      </w:r>
    </w:p>
    <w:p w14:paraId="74F1AA4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了解会计账务处理程序的概念、类别和要素</w:t>
      </w:r>
    </w:p>
    <w:p w14:paraId="041C1489">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2、掌握各种账务处理程序的主要特点和适用范围</w:t>
      </w:r>
    </w:p>
    <w:p w14:paraId="423B1AC7">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3、掌握科目汇总表的编制和总账的登记方法</w:t>
      </w:r>
    </w:p>
    <w:p w14:paraId="6642FA6F">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 xml:space="preserve">  财务会计报告</w:t>
      </w:r>
    </w:p>
    <w:p w14:paraId="243D705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了解财务会计报告体系、作用和种类</w:t>
      </w:r>
    </w:p>
    <w:p w14:paraId="5F8C225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掌握资产负债表、利润表的编制原理和填列方法</w:t>
      </w:r>
    </w:p>
    <w:p w14:paraId="30C278FA">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b/>
          <w:sz w:val="24"/>
          <w:szCs w:val="24"/>
        </w:rPr>
      </w:pPr>
      <w:r>
        <w:rPr>
          <w:rFonts w:hint="default" w:ascii="Times New Roman" w:hAnsi="Times New Roman" w:eastAsia="宋体" w:cs="Times New Roman"/>
          <w:sz w:val="24"/>
          <w:szCs w:val="24"/>
        </w:rPr>
        <w:t>3、了解现金流量表的编制原理和填列方法</w:t>
      </w:r>
    </w:p>
    <w:p w14:paraId="5AB26E7E">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 xml:space="preserve">  货币资金</w:t>
      </w:r>
    </w:p>
    <w:p w14:paraId="21A81309">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1、掌握库存现金、银行存款和其他货币资金的会计核算</w:t>
      </w:r>
    </w:p>
    <w:p w14:paraId="5A144696">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2、了解货币资金内部控制的主要内容</w:t>
      </w:r>
    </w:p>
    <w:p w14:paraId="39B020AF">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b/>
          <w:sz w:val="24"/>
          <w:szCs w:val="24"/>
        </w:rPr>
      </w:pPr>
      <w:r>
        <w:rPr>
          <w:rFonts w:hint="default" w:ascii="Times New Roman" w:hAnsi="Times New Roman" w:eastAsia="宋体" w:cs="Times New Roman"/>
          <w:sz w:val="24"/>
          <w:szCs w:val="24"/>
        </w:rPr>
        <w:t>3、了解银行账户管理的基本内容和主要银行结算方式</w:t>
      </w:r>
    </w:p>
    <w:p w14:paraId="16EB02A9">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 xml:space="preserve">  存货</w:t>
      </w:r>
    </w:p>
    <w:p w14:paraId="63788AF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重点掌握存货的初始确认和计量，原材料按实际成本计量取得和发出的会计核算</w:t>
      </w:r>
    </w:p>
    <w:p w14:paraId="0FF12105">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2、重点掌握存货可变现净值的确定方法，存货跌价准备的会计核算</w:t>
      </w:r>
    </w:p>
    <w:p w14:paraId="7910C35E">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3、掌握存货的概念和分类，原材料按计划成本计量取得和发出的会计核算</w:t>
      </w:r>
    </w:p>
    <w:p w14:paraId="25A1796B">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4、掌握存货成本与可变现净值的比较方法</w:t>
      </w:r>
    </w:p>
    <w:p w14:paraId="79ACBA50">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5、了解存货发生减值的迹象</w:t>
      </w:r>
    </w:p>
    <w:p w14:paraId="667427DB">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 xml:space="preserve">  金融资产</w:t>
      </w:r>
    </w:p>
    <w:p w14:paraId="6CB13ADB">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掌握金融工具的内容、金融资产的基本及各类金融资产的主要特征</w:t>
      </w:r>
    </w:p>
    <w:p w14:paraId="0489AE95">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掌握应收账款计提坏账准备的方法、确认条件及会计核算</w:t>
      </w:r>
    </w:p>
    <w:p w14:paraId="25E66D51">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重点掌握交易性金融资产以及应收票据、应收账款、其他应收款等应收款项的会计核算</w:t>
      </w:r>
    </w:p>
    <w:p w14:paraId="5FC0F3F8">
      <w:pPr>
        <w:keepNext w:val="0"/>
        <w:keepLines w:val="0"/>
        <w:pageBreakBefore w:val="0"/>
        <w:widowControl w:val="0"/>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4、重点掌握债权投资、其他债权投资、其他权益类工具投资的会计核算</w:t>
      </w:r>
    </w:p>
    <w:p w14:paraId="3F1D4D97">
      <w:pPr>
        <w:keepNext w:val="0"/>
        <w:keepLines w:val="0"/>
        <w:pageBreakBefore w:val="0"/>
        <w:widowControl w:val="0"/>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5、掌握债权投资的摊余成本的构成，减值的核算</w:t>
      </w:r>
    </w:p>
    <w:p w14:paraId="31F42BDA">
      <w:pPr>
        <w:keepNext w:val="0"/>
        <w:keepLines w:val="0"/>
        <w:pageBreakBefore w:val="0"/>
        <w:widowControl w:val="0"/>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6、掌握其他债权投资、其他权益类工具投资的初始入账价值的构成，减值的核算</w:t>
      </w:r>
    </w:p>
    <w:p w14:paraId="0C6121D8">
      <w:pPr>
        <w:keepNext w:val="0"/>
        <w:keepLines w:val="0"/>
        <w:pageBreakBefore w:val="0"/>
        <w:widowControl w:val="0"/>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b/>
          <w:sz w:val="24"/>
          <w:szCs w:val="24"/>
        </w:rPr>
      </w:pPr>
      <w:r>
        <w:rPr>
          <w:rFonts w:hint="default" w:ascii="Times New Roman" w:hAnsi="Times New Roman" w:eastAsia="宋体" w:cs="Times New Roman"/>
          <w:sz w:val="24"/>
          <w:szCs w:val="24"/>
        </w:rPr>
        <w:t>7、了解债权投资的概念，其他债权投资、其他权益类工具投资的特征</w:t>
      </w:r>
    </w:p>
    <w:p w14:paraId="3BD2AB17">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 xml:space="preserve">  长期股权投资</w:t>
      </w:r>
    </w:p>
    <w:p w14:paraId="798C444F">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重点掌握长期股权投资取得、持有、处置以及减值的会计核算</w:t>
      </w:r>
    </w:p>
    <w:p w14:paraId="412E3049">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重点掌握长期股权投资核算的成本法和权益法，以及成本法与权益法的转换</w:t>
      </w:r>
    </w:p>
    <w:p w14:paraId="1FE8344D">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掌握长期股权投资的概念，取得长期股权投资的企业与被投资企业的关系</w:t>
      </w:r>
    </w:p>
    <w:p w14:paraId="4E569313">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 xml:space="preserve">  固定资产</w:t>
      </w:r>
    </w:p>
    <w:p w14:paraId="376CF2B2">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掌握固定资产购置、自行建造的会计核算</w:t>
      </w:r>
    </w:p>
    <w:p w14:paraId="28771EC4">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2、掌握固定资产修理的会计核算，固定资产的期末计价</w:t>
      </w:r>
    </w:p>
    <w:p w14:paraId="377A58A5">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3、重点掌握固定资产折旧，固定资产改扩建，以及固定资产清理的会计核算</w:t>
      </w:r>
    </w:p>
    <w:p w14:paraId="013DDDA2">
      <w:pPr>
        <w:keepNext w:val="0"/>
        <w:keepLines w:val="0"/>
        <w:pageBreakBefore w:val="0"/>
        <w:widowControl w:val="0"/>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4、了解固定资产的性质、分类和计价，取得附有弃置义务固定资产的会计核算</w:t>
      </w:r>
    </w:p>
    <w:p w14:paraId="55909243">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 xml:space="preserve">  无形资产与投资性房地产</w:t>
      </w:r>
    </w:p>
    <w:p w14:paraId="2517F4C5">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重点掌握购入、自行研究开发无形资产的会计核算</w:t>
      </w:r>
    </w:p>
    <w:p w14:paraId="037B4517">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重点掌握无形资产摊销、出租、处置的会计核算</w:t>
      </w:r>
    </w:p>
    <w:p w14:paraId="62B31898">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掌握无形资产的性质和分类，投资性房地产的性质</w:t>
      </w:r>
    </w:p>
    <w:p w14:paraId="2947A877">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了解投资性房地产出租收入、后续计量，以及投资性房地产转换的会计核算</w:t>
      </w:r>
    </w:p>
    <w:p w14:paraId="27301FF8">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 xml:space="preserve">  负债</w:t>
      </w:r>
    </w:p>
    <w:p w14:paraId="7D0451A2">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掌握短期借款、应付票据、应付职工薪酬、应交增值税、消费税的会计核算</w:t>
      </w:r>
    </w:p>
    <w:p w14:paraId="10857A2C">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掌握应付账款、应交城市维护建设税、教育费附加、其他应付及预收账款的核算</w:t>
      </w:r>
    </w:p>
    <w:p w14:paraId="55B9B406">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重点掌握应付债券、长期借款和借款费用资本化的账务处理</w:t>
      </w:r>
    </w:p>
    <w:p w14:paraId="523F7495">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了解流动负债的性质与入账价值，非流动负债的性质与种类</w:t>
      </w:r>
    </w:p>
    <w:p w14:paraId="4E12A4D3">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color w:val="FF0000"/>
          <w:sz w:val="24"/>
          <w:szCs w:val="24"/>
        </w:rPr>
      </w:pPr>
      <w:r>
        <w:rPr>
          <w:rFonts w:hint="default" w:ascii="Times New Roman" w:hAnsi="Times New Roman" w:eastAsia="宋体" w:cs="Times New Roman"/>
          <w:sz w:val="24"/>
          <w:szCs w:val="24"/>
        </w:rPr>
        <w:t>了解借款费用的金额确定与会计处理，预计负债的账务处理</w:t>
      </w:r>
    </w:p>
    <w:p w14:paraId="6E97C5C0">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 xml:space="preserve">  所有者权益</w:t>
      </w:r>
    </w:p>
    <w:p w14:paraId="458129E5">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掌握实收资本、资本溢价、其他综合收益、库存股、股份支付、留存收益的核算</w:t>
      </w:r>
    </w:p>
    <w:p w14:paraId="2DF41C82">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了解所有者权益的分类，独资企业、合伙企业，以及公司制企业所有者权益的特点</w:t>
      </w:r>
    </w:p>
    <w:p w14:paraId="1FCCC8DB">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textAlignment w:val="auto"/>
        <w:rPr>
          <w:rFonts w:hint="default" w:ascii="Times New Roman" w:hAnsi="Times New Roman" w:eastAsia="宋体" w:cs="Times New Roman"/>
          <w:b/>
          <w:sz w:val="24"/>
          <w:szCs w:val="24"/>
        </w:rPr>
      </w:pPr>
      <w:r>
        <w:rPr>
          <w:rFonts w:hint="default" w:ascii="Times New Roman" w:hAnsi="Times New Roman" w:eastAsia="宋体" w:cs="Times New Roman"/>
          <w:sz w:val="24"/>
          <w:szCs w:val="24"/>
        </w:rPr>
        <w:t>3、了解其他权益工具的核算</w:t>
      </w:r>
    </w:p>
    <w:p w14:paraId="1D48F9F4">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 xml:space="preserve">  收入、费用与利润</w:t>
      </w:r>
    </w:p>
    <w:p w14:paraId="03E466DA">
      <w:pPr>
        <w:keepNext w:val="0"/>
        <w:keepLines w:val="0"/>
        <w:pageBreakBefore w:val="0"/>
        <w:widowControl w:val="0"/>
        <w:numPr>
          <w:ilvl w:val="0"/>
          <w:numId w:val="9"/>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掌握营业收入、营业成本、税金及附加、销售费用、管理费用、研发费用、财务费用的会计核算</w:t>
      </w:r>
    </w:p>
    <w:p w14:paraId="0D440E6C">
      <w:pPr>
        <w:keepNext w:val="0"/>
        <w:keepLines w:val="0"/>
        <w:pageBreakBefore w:val="0"/>
        <w:widowControl w:val="0"/>
        <w:numPr>
          <w:ilvl w:val="0"/>
          <w:numId w:val="9"/>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掌握资产处置损益、所得税费用、利润分配的会计核算</w:t>
      </w:r>
    </w:p>
    <w:p w14:paraId="04A530E7">
      <w:pPr>
        <w:keepNext w:val="0"/>
        <w:keepLines w:val="0"/>
        <w:pageBreakBefore w:val="0"/>
        <w:widowControl w:val="0"/>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3、掌握费用、成本、支出的关系，营业收入的确认，资产减值损失、信用减值损失、公允价值变动损益、投资收益、营业外收支的会计核算，以及利润的结算</w:t>
      </w:r>
    </w:p>
    <w:p w14:paraId="7C283D3F">
      <w:pPr>
        <w:keepNext w:val="0"/>
        <w:keepLines w:val="0"/>
        <w:pageBreakBefore w:val="0"/>
        <w:widowControl w:val="0"/>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4、了解收入、费用、利润的定义</w:t>
      </w:r>
    </w:p>
    <w:p w14:paraId="4E2BA799">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435"/>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 xml:space="preserve">  财务报表</w:t>
      </w:r>
    </w:p>
    <w:p w14:paraId="03D09EA2">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jc w:val="left"/>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1、掌握资产负债表、利润表和现金流量表的编制方法</w:t>
      </w:r>
    </w:p>
    <w:p w14:paraId="0C39E75C">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jc w:val="left"/>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2、了解所有者权益变动表的编制方法，综合收益的列报</w:t>
      </w:r>
    </w:p>
    <w:p w14:paraId="1998F78E">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jc w:val="left"/>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3、了解报表附注的重要性和附注披露的主要内容</w:t>
      </w:r>
    </w:p>
    <w:p w14:paraId="1321CCB7">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cs="Times New Roman"/>
          <w:b/>
          <w:bCs/>
          <w:color w:val="000000"/>
          <w:sz w:val="28"/>
          <w:szCs w:val="28"/>
        </w:rPr>
      </w:pPr>
      <w:r>
        <w:rPr>
          <w:rFonts w:hint="default" w:ascii="Times New Roman" w:hAnsi="Times New Roman" w:cs="Times New Roman"/>
          <w:b/>
          <w:bCs/>
          <w:color w:val="000000"/>
          <w:sz w:val="28"/>
          <w:szCs w:val="28"/>
        </w:rPr>
        <w:t>五、各部分内容近似分值</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6"/>
        <w:gridCol w:w="4111"/>
        <w:gridCol w:w="1002"/>
      </w:tblGrid>
      <w:tr w14:paraId="47FBC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noWrap w:val="0"/>
            <w:vAlign w:val="center"/>
          </w:tcPr>
          <w:p w14:paraId="3C8EFB7F">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jc w:val="center"/>
              <w:textAlignment w:val="auto"/>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考试内容</w:t>
            </w:r>
          </w:p>
        </w:tc>
        <w:tc>
          <w:tcPr>
            <w:tcW w:w="4111" w:type="dxa"/>
            <w:noWrap w:val="0"/>
            <w:vAlign w:val="center"/>
          </w:tcPr>
          <w:p w14:paraId="781A7E22">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jc w:val="center"/>
              <w:textAlignment w:val="auto"/>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涉及的章节</w:t>
            </w:r>
          </w:p>
        </w:tc>
        <w:tc>
          <w:tcPr>
            <w:tcW w:w="1002" w:type="dxa"/>
            <w:noWrap w:val="0"/>
            <w:vAlign w:val="center"/>
          </w:tcPr>
          <w:p w14:paraId="76CB4C96">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jc w:val="center"/>
              <w:textAlignment w:val="auto"/>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分值</w:t>
            </w:r>
          </w:p>
        </w:tc>
      </w:tr>
      <w:tr w14:paraId="4344E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3016" w:type="dxa"/>
            <w:shd w:val="clear" w:color="auto" w:fill="auto"/>
            <w:noWrap w:val="0"/>
            <w:vAlign w:val="center"/>
          </w:tcPr>
          <w:p w14:paraId="5153A5D9">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bookmarkStart w:id="0" w:name="OLE_LINK1" w:colFirst="2" w:colLast="2"/>
            <w:bookmarkStart w:id="1" w:name="_Hlk291018794"/>
            <w:bookmarkStart w:id="2" w:name="OLE_LINK2" w:colFirst="2" w:colLast="2"/>
            <w:r>
              <w:rPr>
                <w:rFonts w:hint="default" w:ascii="Times New Roman" w:hAnsi="Times New Roman" w:cs="Times New Roman"/>
                <w:sz w:val="21"/>
                <w:szCs w:val="21"/>
              </w:rPr>
              <w:t>总论</w:t>
            </w:r>
          </w:p>
        </w:tc>
        <w:tc>
          <w:tcPr>
            <w:tcW w:w="4111" w:type="dxa"/>
            <w:shd w:val="clear" w:color="auto" w:fill="auto"/>
            <w:noWrap w:val="0"/>
            <w:vAlign w:val="center"/>
          </w:tcPr>
          <w:p w14:paraId="074BDC02">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第一章</w:t>
            </w:r>
          </w:p>
        </w:tc>
        <w:tc>
          <w:tcPr>
            <w:tcW w:w="1002" w:type="dxa"/>
            <w:shd w:val="clear" w:color="auto" w:fill="auto"/>
            <w:noWrap w:val="0"/>
            <w:vAlign w:val="center"/>
          </w:tcPr>
          <w:p w14:paraId="32E9FA35">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2</w:t>
            </w:r>
          </w:p>
        </w:tc>
      </w:tr>
      <w:tr w14:paraId="3344A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shd w:val="clear" w:color="auto" w:fill="auto"/>
            <w:noWrap w:val="0"/>
            <w:vAlign w:val="center"/>
          </w:tcPr>
          <w:p w14:paraId="16287123">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账户和复式记账</w:t>
            </w:r>
          </w:p>
        </w:tc>
        <w:tc>
          <w:tcPr>
            <w:tcW w:w="4111" w:type="dxa"/>
            <w:shd w:val="clear" w:color="auto" w:fill="auto"/>
            <w:noWrap w:val="0"/>
            <w:vAlign w:val="center"/>
          </w:tcPr>
          <w:p w14:paraId="31BBDBDD">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第二章</w:t>
            </w:r>
          </w:p>
        </w:tc>
        <w:tc>
          <w:tcPr>
            <w:tcW w:w="1002" w:type="dxa"/>
            <w:shd w:val="clear" w:color="auto" w:fill="auto"/>
            <w:noWrap w:val="0"/>
            <w:vAlign w:val="center"/>
          </w:tcPr>
          <w:p w14:paraId="7CBA0A17">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7</w:t>
            </w:r>
          </w:p>
        </w:tc>
      </w:tr>
      <w:tr w14:paraId="2D44B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shd w:val="clear" w:color="auto" w:fill="auto"/>
            <w:noWrap w:val="0"/>
            <w:vAlign w:val="center"/>
          </w:tcPr>
          <w:p w14:paraId="507C33EC">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借贷记账法的应用</w:t>
            </w:r>
          </w:p>
        </w:tc>
        <w:tc>
          <w:tcPr>
            <w:tcW w:w="4111" w:type="dxa"/>
            <w:shd w:val="clear" w:color="auto" w:fill="auto"/>
            <w:noWrap w:val="0"/>
            <w:vAlign w:val="center"/>
          </w:tcPr>
          <w:p w14:paraId="7906F134">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第三章</w:t>
            </w:r>
          </w:p>
        </w:tc>
        <w:tc>
          <w:tcPr>
            <w:tcW w:w="1002" w:type="dxa"/>
            <w:shd w:val="clear" w:color="auto" w:fill="auto"/>
            <w:noWrap w:val="0"/>
            <w:vAlign w:val="center"/>
          </w:tcPr>
          <w:p w14:paraId="26311B73">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7</w:t>
            </w:r>
          </w:p>
        </w:tc>
      </w:tr>
      <w:tr w14:paraId="503EB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shd w:val="clear" w:color="auto" w:fill="auto"/>
            <w:noWrap w:val="0"/>
            <w:vAlign w:val="center"/>
          </w:tcPr>
          <w:p w14:paraId="1FDB79CD">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会计凭证的填制和审核</w:t>
            </w:r>
          </w:p>
        </w:tc>
        <w:tc>
          <w:tcPr>
            <w:tcW w:w="4111" w:type="dxa"/>
            <w:shd w:val="clear" w:color="auto" w:fill="auto"/>
            <w:noWrap w:val="0"/>
            <w:vAlign w:val="center"/>
          </w:tcPr>
          <w:p w14:paraId="3F73758A">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第四章</w:t>
            </w:r>
          </w:p>
        </w:tc>
        <w:tc>
          <w:tcPr>
            <w:tcW w:w="1002" w:type="dxa"/>
            <w:shd w:val="clear" w:color="auto" w:fill="auto"/>
            <w:noWrap w:val="0"/>
            <w:vAlign w:val="center"/>
          </w:tcPr>
          <w:p w14:paraId="1A43F03F">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8</w:t>
            </w:r>
          </w:p>
        </w:tc>
      </w:tr>
      <w:tr w14:paraId="7A1E5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shd w:val="clear" w:color="auto" w:fill="auto"/>
            <w:noWrap w:val="0"/>
            <w:vAlign w:val="center"/>
          </w:tcPr>
          <w:p w14:paraId="2EB5045C">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会计账簿的设置和登记</w:t>
            </w:r>
          </w:p>
        </w:tc>
        <w:tc>
          <w:tcPr>
            <w:tcW w:w="4111" w:type="dxa"/>
            <w:shd w:val="clear" w:color="auto" w:fill="auto"/>
            <w:noWrap w:val="0"/>
            <w:vAlign w:val="center"/>
          </w:tcPr>
          <w:p w14:paraId="2A97815B">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第五章</w:t>
            </w:r>
          </w:p>
        </w:tc>
        <w:tc>
          <w:tcPr>
            <w:tcW w:w="1002" w:type="dxa"/>
            <w:shd w:val="clear" w:color="auto" w:fill="auto"/>
            <w:noWrap w:val="0"/>
            <w:vAlign w:val="center"/>
          </w:tcPr>
          <w:p w14:paraId="603E1E8C">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8</w:t>
            </w:r>
          </w:p>
        </w:tc>
      </w:tr>
      <w:tr w14:paraId="6792D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shd w:val="clear" w:color="auto" w:fill="auto"/>
            <w:noWrap w:val="0"/>
            <w:vAlign w:val="center"/>
          </w:tcPr>
          <w:p w14:paraId="1ADE7EA0">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财产清查</w:t>
            </w:r>
          </w:p>
        </w:tc>
        <w:tc>
          <w:tcPr>
            <w:tcW w:w="4111" w:type="dxa"/>
            <w:shd w:val="clear" w:color="auto" w:fill="auto"/>
            <w:noWrap w:val="0"/>
            <w:vAlign w:val="center"/>
          </w:tcPr>
          <w:p w14:paraId="7A6FC81C">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第六章</w:t>
            </w:r>
          </w:p>
        </w:tc>
        <w:tc>
          <w:tcPr>
            <w:tcW w:w="1002" w:type="dxa"/>
            <w:shd w:val="clear" w:color="auto" w:fill="auto"/>
            <w:noWrap w:val="0"/>
            <w:vAlign w:val="center"/>
          </w:tcPr>
          <w:p w14:paraId="5C5CE963">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5</w:t>
            </w:r>
          </w:p>
        </w:tc>
      </w:tr>
      <w:tr w14:paraId="14FE4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shd w:val="clear" w:color="auto" w:fill="auto"/>
            <w:noWrap w:val="0"/>
            <w:vAlign w:val="center"/>
          </w:tcPr>
          <w:p w14:paraId="6A12E257">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账务处理程序</w:t>
            </w:r>
          </w:p>
        </w:tc>
        <w:tc>
          <w:tcPr>
            <w:tcW w:w="4111" w:type="dxa"/>
            <w:shd w:val="clear" w:color="auto" w:fill="auto"/>
            <w:noWrap w:val="0"/>
            <w:vAlign w:val="center"/>
          </w:tcPr>
          <w:p w14:paraId="7ED02E00">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第七章</w:t>
            </w:r>
          </w:p>
        </w:tc>
        <w:tc>
          <w:tcPr>
            <w:tcW w:w="1002" w:type="dxa"/>
            <w:shd w:val="clear" w:color="auto" w:fill="auto"/>
            <w:noWrap w:val="0"/>
            <w:vAlign w:val="center"/>
          </w:tcPr>
          <w:p w14:paraId="0BB8BB0D">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5</w:t>
            </w:r>
          </w:p>
        </w:tc>
      </w:tr>
      <w:tr w14:paraId="2654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shd w:val="clear" w:color="auto" w:fill="auto"/>
            <w:noWrap w:val="0"/>
            <w:vAlign w:val="center"/>
          </w:tcPr>
          <w:p w14:paraId="4A5A0D28">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财务会计报告</w:t>
            </w:r>
          </w:p>
        </w:tc>
        <w:tc>
          <w:tcPr>
            <w:tcW w:w="4111" w:type="dxa"/>
            <w:shd w:val="clear" w:color="auto" w:fill="auto"/>
            <w:noWrap w:val="0"/>
            <w:vAlign w:val="center"/>
          </w:tcPr>
          <w:p w14:paraId="5E01E35F">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第八章</w:t>
            </w:r>
          </w:p>
        </w:tc>
        <w:tc>
          <w:tcPr>
            <w:tcW w:w="1002" w:type="dxa"/>
            <w:shd w:val="clear" w:color="auto" w:fill="auto"/>
            <w:noWrap w:val="0"/>
            <w:vAlign w:val="center"/>
          </w:tcPr>
          <w:p w14:paraId="225E04F9">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3</w:t>
            </w:r>
          </w:p>
        </w:tc>
      </w:tr>
      <w:tr w14:paraId="75374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shd w:val="clear" w:color="auto" w:fill="auto"/>
            <w:noWrap w:val="0"/>
            <w:vAlign w:val="center"/>
          </w:tcPr>
          <w:p w14:paraId="1FA24A2D">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货币资金</w:t>
            </w:r>
          </w:p>
        </w:tc>
        <w:tc>
          <w:tcPr>
            <w:tcW w:w="4111" w:type="dxa"/>
            <w:shd w:val="clear" w:color="auto" w:fill="auto"/>
            <w:noWrap w:val="0"/>
            <w:vAlign w:val="center"/>
          </w:tcPr>
          <w:p w14:paraId="3A9C8F11">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第九章</w:t>
            </w:r>
          </w:p>
        </w:tc>
        <w:tc>
          <w:tcPr>
            <w:tcW w:w="1002" w:type="dxa"/>
            <w:shd w:val="clear" w:color="auto" w:fill="auto"/>
            <w:noWrap w:val="0"/>
            <w:vAlign w:val="center"/>
          </w:tcPr>
          <w:p w14:paraId="3E49E03D">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7</w:t>
            </w:r>
          </w:p>
        </w:tc>
      </w:tr>
      <w:tr w14:paraId="5F872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shd w:val="clear" w:color="auto" w:fill="auto"/>
            <w:noWrap w:val="0"/>
            <w:vAlign w:val="center"/>
          </w:tcPr>
          <w:p w14:paraId="33312526">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存货</w:t>
            </w:r>
          </w:p>
        </w:tc>
        <w:tc>
          <w:tcPr>
            <w:tcW w:w="4111" w:type="dxa"/>
            <w:shd w:val="clear" w:color="auto" w:fill="auto"/>
            <w:noWrap w:val="0"/>
            <w:vAlign w:val="center"/>
          </w:tcPr>
          <w:p w14:paraId="1233285A">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第十章</w:t>
            </w:r>
          </w:p>
        </w:tc>
        <w:tc>
          <w:tcPr>
            <w:tcW w:w="1002" w:type="dxa"/>
            <w:shd w:val="clear" w:color="auto" w:fill="auto"/>
            <w:noWrap w:val="0"/>
            <w:vAlign w:val="center"/>
          </w:tcPr>
          <w:p w14:paraId="5A8C6892">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8</w:t>
            </w:r>
          </w:p>
        </w:tc>
      </w:tr>
      <w:tr w14:paraId="32182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shd w:val="clear" w:color="auto" w:fill="auto"/>
            <w:noWrap w:val="0"/>
            <w:vAlign w:val="center"/>
          </w:tcPr>
          <w:p w14:paraId="18004E38">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金融资产</w:t>
            </w:r>
          </w:p>
        </w:tc>
        <w:tc>
          <w:tcPr>
            <w:tcW w:w="4111" w:type="dxa"/>
            <w:shd w:val="clear" w:color="auto" w:fill="auto"/>
            <w:noWrap w:val="0"/>
            <w:vAlign w:val="center"/>
          </w:tcPr>
          <w:p w14:paraId="0AC33D52">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第十一章</w:t>
            </w:r>
          </w:p>
        </w:tc>
        <w:tc>
          <w:tcPr>
            <w:tcW w:w="1002" w:type="dxa"/>
            <w:shd w:val="clear" w:color="auto" w:fill="auto"/>
            <w:noWrap w:val="0"/>
            <w:vAlign w:val="center"/>
          </w:tcPr>
          <w:p w14:paraId="79FDE34B">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15</w:t>
            </w:r>
          </w:p>
        </w:tc>
      </w:tr>
      <w:tr w14:paraId="04A15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shd w:val="clear" w:color="auto" w:fill="auto"/>
            <w:noWrap w:val="0"/>
            <w:vAlign w:val="center"/>
          </w:tcPr>
          <w:p w14:paraId="76D727F5">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长期股权投资</w:t>
            </w:r>
          </w:p>
        </w:tc>
        <w:tc>
          <w:tcPr>
            <w:tcW w:w="4111" w:type="dxa"/>
            <w:shd w:val="clear" w:color="auto" w:fill="auto"/>
            <w:noWrap w:val="0"/>
            <w:vAlign w:val="center"/>
          </w:tcPr>
          <w:p w14:paraId="2CB21062">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第十二章</w:t>
            </w:r>
          </w:p>
        </w:tc>
        <w:tc>
          <w:tcPr>
            <w:tcW w:w="1002" w:type="dxa"/>
            <w:shd w:val="clear" w:color="auto" w:fill="auto"/>
            <w:noWrap w:val="0"/>
            <w:vAlign w:val="center"/>
          </w:tcPr>
          <w:p w14:paraId="5B4F9BA8">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15</w:t>
            </w:r>
          </w:p>
        </w:tc>
      </w:tr>
      <w:tr w14:paraId="7CC8F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shd w:val="clear" w:color="auto" w:fill="auto"/>
            <w:noWrap w:val="0"/>
            <w:vAlign w:val="center"/>
          </w:tcPr>
          <w:p w14:paraId="09129381">
            <w:pPr>
              <w:keepNext w:val="0"/>
              <w:keepLines w:val="0"/>
              <w:pageBreakBefore w:val="0"/>
              <w:widowControl w:val="0"/>
              <w:kinsoku/>
              <w:wordWrap/>
              <w:overflowPunct/>
              <w:topLinePunct w:val="0"/>
              <w:autoSpaceDE/>
              <w:autoSpaceDN/>
              <w:bidi w:val="0"/>
              <w:adjustRightInd/>
              <w:snapToGrid/>
              <w:spacing w:line="240" w:lineRule="auto"/>
              <w:ind w:left="0" w:leftChars="0" w:firstLine="435" w:firstLine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固定资产</w:t>
            </w:r>
          </w:p>
        </w:tc>
        <w:tc>
          <w:tcPr>
            <w:tcW w:w="4111" w:type="dxa"/>
            <w:shd w:val="clear" w:color="auto" w:fill="auto"/>
            <w:noWrap w:val="0"/>
            <w:vAlign w:val="center"/>
          </w:tcPr>
          <w:p w14:paraId="43A9021E">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第十三章</w:t>
            </w:r>
          </w:p>
        </w:tc>
        <w:tc>
          <w:tcPr>
            <w:tcW w:w="1002" w:type="dxa"/>
            <w:shd w:val="clear" w:color="auto" w:fill="auto"/>
            <w:noWrap w:val="0"/>
            <w:vAlign w:val="center"/>
          </w:tcPr>
          <w:p w14:paraId="1370CC57">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10</w:t>
            </w:r>
          </w:p>
        </w:tc>
      </w:tr>
      <w:tr w14:paraId="192B4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shd w:val="clear" w:color="auto" w:fill="auto"/>
            <w:noWrap w:val="0"/>
            <w:vAlign w:val="center"/>
          </w:tcPr>
          <w:p w14:paraId="04B9C429">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无形资产与投资性房地产</w:t>
            </w:r>
          </w:p>
        </w:tc>
        <w:tc>
          <w:tcPr>
            <w:tcW w:w="4111" w:type="dxa"/>
            <w:shd w:val="clear" w:color="auto" w:fill="auto"/>
            <w:noWrap w:val="0"/>
            <w:vAlign w:val="center"/>
          </w:tcPr>
          <w:p w14:paraId="519C59C5">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第十四章</w:t>
            </w:r>
          </w:p>
        </w:tc>
        <w:tc>
          <w:tcPr>
            <w:tcW w:w="1002" w:type="dxa"/>
            <w:shd w:val="clear" w:color="auto" w:fill="auto"/>
            <w:noWrap w:val="0"/>
            <w:vAlign w:val="center"/>
          </w:tcPr>
          <w:p w14:paraId="148643C0">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10</w:t>
            </w:r>
          </w:p>
        </w:tc>
      </w:tr>
      <w:tr w14:paraId="2A9CC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shd w:val="clear" w:color="auto" w:fill="auto"/>
            <w:noWrap w:val="0"/>
            <w:vAlign w:val="center"/>
          </w:tcPr>
          <w:p w14:paraId="05EA8010">
            <w:pPr>
              <w:keepNext w:val="0"/>
              <w:keepLines w:val="0"/>
              <w:pageBreakBefore w:val="0"/>
              <w:widowControl w:val="0"/>
              <w:kinsoku/>
              <w:wordWrap/>
              <w:overflowPunct/>
              <w:topLinePunct w:val="0"/>
              <w:autoSpaceDE/>
              <w:autoSpaceDN/>
              <w:bidi w:val="0"/>
              <w:adjustRightInd/>
              <w:snapToGrid/>
              <w:spacing w:line="240" w:lineRule="auto"/>
              <w:ind w:left="0" w:leftChars="0" w:firstLine="435" w:firstLine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负债</w:t>
            </w:r>
          </w:p>
        </w:tc>
        <w:tc>
          <w:tcPr>
            <w:tcW w:w="4111" w:type="dxa"/>
            <w:shd w:val="clear" w:color="auto" w:fill="auto"/>
            <w:noWrap w:val="0"/>
            <w:vAlign w:val="center"/>
          </w:tcPr>
          <w:p w14:paraId="1B61928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第十五章</w:t>
            </w:r>
          </w:p>
        </w:tc>
        <w:tc>
          <w:tcPr>
            <w:tcW w:w="1002" w:type="dxa"/>
            <w:shd w:val="clear" w:color="auto" w:fill="auto"/>
            <w:noWrap w:val="0"/>
            <w:vAlign w:val="center"/>
          </w:tcPr>
          <w:p w14:paraId="61F55FC7">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10</w:t>
            </w:r>
          </w:p>
        </w:tc>
      </w:tr>
      <w:tr w14:paraId="2B767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shd w:val="clear" w:color="auto" w:fill="auto"/>
            <w:noWrap w:val="0"/>
            <w:vAlign w:val="center"/>
          </w:tcPr>
          <w:p w14:paraId="34BC66B8">
            <w:pPr>
              <w:keepNext w:val="0"/>
              <w:keepLines w:val="0"/>
              <w:pageBreakBefore w:val="0"/>
              <w:widowControl w:val="0"/>
              <w:kinsoku/>
              <w:wordWrap/>
              <w:overflowPunct/>
              <w:topLinePunct w:val="0"/>
              <w:autoSpaceDE/>
              <w:autoSpaceDN/>
              <w:bidi w:val="0"/>
              <w:adjustRightInd/>
              <w:snapToGrid/>
              <w:spacing w:line="240" w:lineRule="auto"/>
              <w:ind w:left="0" w:leftChars="0" w:firstLine="435" w:firstLine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所有者权益</w:t>
            </w:r>
          </w:p>
        </w:tc>
        <w:tc>
          <w:tcPr>
            <w:tcW w:w="4111" w:type="dxa"/>
            <w:shd w:val="clear" w:color="auto" w:fill="auto"/>
            <w:noWrap w:val="0"/>
            <w:vAlign w:val="center"/>
          </w:tcPr>
          <w:p w14:paraId="04B75BF7">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第十六章</w:t>
            </w:r>
          </w:p>
        </w:tc>
        <w:tc>
          <w:tcPr>
            <w:tcW w:w="1002" w:type="dxa"/>
            <w:shd w:val="clear" w:color="auto" w:fill="auto"/>
            <w:noWrap w:val="0"/>
            <w:vAlign w:val="center"/>
          </w:tcPr>
          <w:p w14:paraId="5BC36877">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10</w:t>
            </w:r>
          </w:p>
        </w:tc>
      </w:tr>
      <w:tr w14:paraId="2F478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shd w:val="clear" w:color="auto" w:fill="auto"/>
            <w:noWrap w:val="0"/>
            <w:vAlign w:val="center"/>
          </w:tcPr>
          <w:p w14:paraId="55F8632F">
            <w:pPr>
              <w:keepNext w:val="0"/>
              <w:keepLines w:val="0"/>
              <w:pageBreakBefore w:val="0"/>
              <w:widowControl w:val="0"/>
              <w:kinsoku/>
              <w:wordWrap/>
              <w:overflowPunct/>
              <w:topLinePunct w:val="0"/>
              <w:autoSpaceDE/>
              <w:autoSpaceDN/>
              <w:bidi w:val="0"/>
              <w:adjustRightInd/>
              <w:snapToGrid/>
              <w:spacing w:line="240" w:lineRule="auto"/>
              <w:ind w:left="0" w:leftChars="0" w:firstLine="435" w:firstLine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收入、费用与利润</w:t>
            </w:r>
          </w:p>
        </w:tc>
        <w:tc>
          <w:tcPr>
            <w:tcW w:w="4111" w:type="dxa"/>
            <w:shd w:val="clear" w:color="auto" w:fill="auto"/>
            <w:noWrap w:val="0"/>
            <w:vAlign w:val="center"/>
          </w:tcPr>
          <w:p w14:paraId="39BB15EE">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第十七章</w:t>
            </w:r>
          </w:p>
        </w:tc>
        <w:tc>
          <w:tcPr>
            <w:tcW w:w="1002" w:type="dxa"/>
            <w:shd w:val="clear" w:color="auto" w:fill="auto"/>
            <w:noWrap w:val="0"/>
            <w:vAlign w:val="center"/>
          </w:tcPr>
          <w:p w14:paraId="2EA1F2F5">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10</w:t>
            </w:r>
          </w:p>
        </w:tc>
      </w:tr>
      <w:tr w14:paraId="2549C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shd w:val="clear" w:color="auto" w:fill="auto"/>
            <w:noWrap w:val="0"/>
            <w:vAlign w:val="center"/>
          </w:tcPr>
          <w:p w14:paraId="25272931">
            <w:pPr>
              <w:keepNext w:val="0"/>
              <w:keepLines w:val="0"/>
              <w:pageBreakBefore w:val="0"/>
              <w:widowControl w:val="0"/>
              <w:kinsoku/>
              <w:wordWrap/>
              <w:overflowPunct/>
              <w:topLinePunct w:val="0"/>
              <w:autoSpaceDE/>
              <w:autoSpaceDN/>
              <w:bidi w:val="0"/>
              <w:adjustRightInd/>
              <w:snapToGrid/>
              <w:spacing w:line="240" w:lineRule="auto"/>
              <w:ind w:left="0" w:leftChars="0" w:firstLine="435" w:firstLine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财务报表</w:t>
            </w:r>
          </w:p>
        </w:tc>
        <w:tc>
          <w:tcPr>
            <w:tcW w:w="4111" w:type="dxa"/>
            <w:shd w:val="clear" w:color="auto" w:fill="auto"/>
            <w:noWrap w:val="0"/>
            <w:vAlign w:val="center"/>
          </w:tcPr>
          <w:p w14:paraId="4C01243F">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第十八章</w:t>
            </w:r>
          </w:p>
        </w:tc>
        <w:tc>
          <w:tcPr>
            <w:tcW w:w="1002" w:type="dxa"/>
            <w:shd w:val="clear" w:color="auto" w:fill="auto"/>
            <w:noWrap w:val="0"/>
            <w:vAlign w:val="center"/>
          </w:tcPr>
          <w:p w14:paraId="4400C4AA">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10</w:t>
            </w:r>
          </w:p>
        </w:tc>
      </w:tr>
      <w:bookmarkEnd w:id="0"/>
      <w:bookmarkEnd w:id="1"/>
      <w:bookmarkEnd w:id="2"/>
      <w:tr w14:paraId="4A02E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27" w:type="dxa"/>
            <w:gridSpan w:val="2"/>
            <w:noWrap w:val="0"/>
            <w:vAlign w:val="center"/>
          </w:tcPr>
          <w:p w14:paraId="7E2D7167">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合 计</w:t>
            </w:r>
          </w:p>
        </w:tc>
        <w:tc>
          <w:tcPr>
            <w:tcW w:w="1002" w:type="dxa"/>
            <w:noWrap w:val="0"/>
            <w:vAlign w:val="center"/>
          </w:tcPr>
          <w:p w14:paraId="3D0FF239">
            <w:pPr>
              <w:keepNext w:val="0"/>
              <w:keepLines w:val="0"/>
              <w:pageBreakBefore w:val="0"/>
              <w:widowControl w:val="0"/>
              <w:tabs>
                <w:tab w:val="center" w:pos="5203"/>
              </w:tabs>
              <w:kinsoku/>
              <w:wordWrap/>
              <w:overflowPunct/>
              <w:topLinePunct w:val="0"/>
              <w:autoSpaceDE/>
              <w:autoSpaceDN/>
              <w:bidi w:val="0"/>
              <w:adjustRightInd/>
              <w:snapToGrid/>
              <w:spacing w:line="240" w:lineRule="auto"/>
              <w:ind w:left="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150</w:t>
            </w:r>
          </w:p>
        </w:tc>
      </w:tr>
    </w:tbl>
    <w:p w14:paraId="0030722C">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0"/>
        <w:textAlignment w:val="auto"/>
        <w:rPr>
          <w:rFonts w:hint="default" w:ascii="Times New Roman" w:hAnsi="Times New Roman" w:cs="Times New Roman"/>
          <w:b/>
          <w:bCs/>
          <w:color w:val="000000"/>
          <w:sz w:val="28"/>
          <w:szCs w:val="28"/>
        </w:rPr>
      </w:pPr>
      <w:r>
        <w:rPr>
          <w:rFonts w:hint="default" w:ascii="Times New Roman" w:hAnsi="Times New Roman" w:cs="Times New Roman"/>
          <w:b/>
          <w:bCs/>
          <w:color w:val="000000"/>
          <w:sz w:val="28"/>
          <w:szCs w:val="28"/>
        </w:rPr>
        <w:t>试卷结构</w:t>
      </w:r>
    </w:p>
    <w:p w14:paraId="61781E22">
      <w:pPr>
        <w:keepNext w:val="0"/>
        <w:keepLines w:val="0"/>
        <w:pageBreakBefore w:val="0"/>
        <w:widowControl w:val="0"/>
        <w:numPr>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eastAsiaTheme="minorEastAsia"/>
          <w:b w:val="0"/>
          <w:bCs w:val="0"/>
          <w:color w:val="000000"/>
          <w:sz w:val="24"/>
          <w:szCs w:val="24"/>
          <w:lang w:eastAsia="zh-CN"/>
        </w:rPr>
      </w:pPr>
      <w:r>
        <w:rPr>
          <w:rFonts w:hint="eastAsia" w:ascii="Times New Roman" w:hAnsi="Times New Roman" w:cs="Times New Roman"/>
          <w:b w:val="0"/>
          <w:bCs w:val="0"/>
          <w:color w:val="000000"/>
          <w:sz w:val="24"/>
          <w:szCs w:val="24"/>
          <w:lang w:eastAsia="zh-CN"/>
        </w:rPr>
        <w:t>无选择、判断题，其它类</w:t>
      </w:r>
      <w:bookmarkStart w:id="3" w:name="_GoBack"/>
      <w:bookmarkEnd w:id="3"/>
      <w:r>
        <w:rPr>
          <w:rFonts w:hint="eastAsia" w:ascii="Times New Roman" w:hAnsi="Times New Roman" w:cs="Times New Roman"/>
          <w:b w:val="0"/>
          <w:bCs w:val="0"/>
          <w:color w:val="000000"/>
          <w:sz w:val="24"/>
          <w:szCs w:val="24"/>
          <w:lang w:eastAsia="zh-CN"/>
        </w:rPr>
        <w:t>型不限。</w:t>
      </w:r>
    </w:p>
    <w:p w14:paraId="4F603978">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cs="Times New Roman"/>
          <w:b/>
          <w:bCs/>
          <w:color w:val="000000"/>
          <w:sz w:val="28"/>
          <w:szCs w:val="28"/>
        </w:rPr>
      </w:pPr>
      <w:r>
        <w:rPr>
          <w:rFonts w:hint="default" w:ascii="Times New Roman" w:hAnsi="Times New Roman" w:cs="Times New Roman"/>
          <w:b/>
          <w:color w:val="000000"/>
          <w:sz w:val="28"/>
          <w:szCs w:val="28"/>
          <w:lang w:eastAsia="zh-CN"/>
        </w:rPr>
        <w:t>七</w:t>
      </w:r>
      <w:r>
        <w:rPr>
          <w:rFonts w:hint="default" w:ascii="Times New Roman" w:hAnsi="Times New Roman" w:cs="Times New Roman"/>
          <w:b/>
          <w:color w:val="000000"/>
          <w:sz w:val="28"/>
          <w:szCs w:val="28"/>
        </w:rPr>
        <w:t>、</w:t>
      </w:r>
      <w:r>
        <w:rPr>
          <w:rFonts w:hint="default" w:ascii="Times New Roman" w:hAnsi="Times New Roman" w:cs="Times New Roman"/>
          <w:b/>
          <w:bCs/>
          <w:color w:val="000000"/>
          <w:sz w:val="28"/>
          <w:szCs w:val="28"/>
        </w:rPr>
        <w:t>参考教材</w:t>
      </w:r>
    </w:p>
    <w:p w14:paraId="0C9030AB">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textAlignment w:val="auto"/>
        <w:rPr>
          <w:rFonts w:hint="default" w:ascii="Times New Roman" w:hAnsi="Times New Roman" w:cs="Times New Roman"/>
          <w:sz w:val="24"/>
          <w:szCs w:val="24"/>
        </w:rPr>
      </w:pPr>
      <w:r>
        <w:rPr>
          <w:rFonts w:hint="default" w:ascii="Times New Roman" w:hAnsi="Times New Roman" w:cs="Times New Roman"/>
          <w:color w:val="000000"/>
          <w:sz w:val="24"/>
          <w:szCs w:val="24"/>
        </w:rPr>
        <w:t>1、</w:t>
      </w:r>
      <w:r>
        <w:rPr>
          <w:rFonts w:hint="default" w:ascii="Times New Roman" w:hAnsi="Times New Roman" w:cs="Times New Roman"/>
          <w:sz w:val="24"/>
          <w:szCs w:val="24"/>
        </w:rPr>
        <w:t>杨怀宏</w:t>
      </w:r>
      <w:r>
        <w:rPr>
          <w:rFonts w:hint="default" w:ascii="Times New Roman" w:hAnsi="Times New Roman" w:cs="Times New Roman"/>
          <w:sz w:val="24"/>
          <w:szCs w:val="24"/>
          <w:lang w:eastAsia="zh-CN"/>
        </w:rPr>
        <w:t>、</w:t>
      </w:r>
      <w:r>
        <w:rPr>
          <w:rFonts w:hint="default" w:ascii="Times New Roman" w:hAnsi="Times New Roman" w:cs="Times New Roman"/>
          <w:sz w:val="24"/>
          <w:szCs w:val="24"/>
        </w:rPr>
        <w:t>焦争昌《会计学原理》，中国财政经济出版社 20</w:t>
      </w:r>
      <w:r>
        <w:rPr>
          <w:rFonts w:hint="default" w:ascii="Times New Roman" w:hAnsi="Times New Roman" w:cs="Times New Roman"/>
          <w:sz w:val="24"/>
          <w:szCs w:val="24"/>
          <w:lang w:val="en-US" w:eastAsia="zh-CN"/>
        </w:rPr>
        <w:t>23</w:t>
      </w:r>
      <w:r>
        <w:rPr>
          <w:rFonts w:hint="default" w:ascii="Times New Roman" w:hAnsi="Times New Roman" w:cs="Times New Roman"/>
          <w:sz w:val="24"/>
          <w:szCs w:val="24"/>
        </w:rPr>
        <w:t>年</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月</w:t>
      </w:r>
    </w:p>
    <w:p w14:paraId="2AC1E6B5">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textAlignment w:val="auto"/>
        <w:rPr>
          <w:rFonts w:hint="default" w:ascii="Times New Roman" w:hAnsi="Times New Roman" w:cs="Times New Roman"/>
          <w:sz w:val="24"/>
          <w:szCs w:val="24"/>
        </w:rPr>
      </w:pPr>
      <w:r>
        <w:rPr>
          <w:rFonts w:hint="default" w:ascii="Times New Roman" w:hAnsi="Times New Roman" w:cs="Times New Roman"/>
          <w:color w:val="000000"/>
          <w:sz w:val="24"/>
          <w:szCs w:val="24"/>
        </w:rPr>
        <w:t>2、</w:t>
      </w:r>
      <w:r>
        <w:rPr>
          <w:rFonts w:hint="default" w:ascii="Times New Roman" w:hAnsi="Times New Roman" w:cs="Times New Roman"/>
          <w:sz w:val="24"/>
          <w:szCs w:val="24"/>
        </w:rPr>
        <w:t>戴德明</w:t>
      </w:r>
      <w:r>
        <w:rPr>
          <w:rFonts w:hint="default" w:ascii="Times New Roman" w:hAnsi="Times New Roman" w:cs="Times New Roman"/>
          <w:sz w:val="24"/>
          <w:szCs w:val="24"/>
          <w:lang w:eastAsia="zh-CN"/>
        </w:rPr>
        <w:t>、</w:t>
      </w:r>
      <w:r>
        <w:rPr>
          <w:rFonts w:hint="default" w:ascii="Times New Roman" w:hAnsi="Times New Roman" w:cs="Times New Roman"/>
          <w:sz w:val="24"/>
          <w:szCs w:val="24"/>
        </w:rPr>
        <w:t>林钢</w:t>
      </w:r>
      <w:r>
        <w:rPr>
          <w:rFonts w:hint="default" w:ascii="Times New Roman" w:hAnsi="Times New Roman" w:cs="Times New Roman"/>
          <w:sz w:val="24"/>
          <w:szCs w:val="24"/>
          <w:lang w:eastAsia="zh-CN"/>
        </w:rPr>
        <w:t>、</w:t>
      </w:r>
      <w:r>
        <w:rPr>
          <w:rFonts w:hint="default" w:ascii="Times New Roman" w:hAnsi="Times New Roman" w:cs="Times New Roman"/>
          <w:sz w:val="24"/>
          <w:szCs w:val="24"/>
        </w:rPr>
        <w:t>赵西卜《财务会计学》，第13版，中国人民大学出版社2021年7月</w:t>
      </w:r>
    </w:p>
    <w:p w14:paraId="14715BC1">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cs="Times New Roman" w:eastAsiaTheme="minorEastAsia"/>
          <w:b/>
          <w:bCs/>
          <w:color w:val="000000"/>
          <w:sz w:val="28"/>
          <w:szCs w:val="28"/>
          <w:lang w:eastAsia="zh-CN"/>
        </w:rPr>
      </w:pPr>
      <w:r>
        <w:rPr>
          <w:rFonts w:hint="default" w:ascii="Times New Roman" w:hAnsi="Times New Roman" w:cs="Times New Roman"/>
          <w:b/>
          <w:bCs/>
          <w:color w:val="000000"/>
          <w:sz w:val="28"/>
          <w:szCs w:val="28"/>
          <w:lang w:eastAsia="zh-CN"/>
        </w:rPr>
        <w:t>八、其它</w:t>
      </w:r>
    </w:p>
    <w:p w14:paraId="72F6E635">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本门课考试</w:t>
      </w:r>
      <w:r>
        <w:rPr>
          <w:rFonts w:hint="default" w:ascii="Times New Roman" w:hAnsi="Times New Roman" w:cs="Times New Roman"/>
          <w:sz w:val="24"/>
          <w:szCs w:val="24"/>
        </w:rPr>
        <w:t>可使用不带储存记忆功能的计算器。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4C0829"/>
    <w:multiLevelType w:val="singleLevel"/>
    <w:tmpl w:val="814C0829"/>
    <w:lvl w:ilvl="0" w:tentative="0">
      <w:start w:val="6"/>
      <w:numFmt w:val="chineseCounting"/>
      <w:suff w:val="nothing"/>
      <w:lvlText w:val="%1、"/>
      <w:lvlJc w:val="left"/>
      <w:rPr>
        <w:rFonts w:hint="eastAsia"/>
      </w:rPr>
    </w:lvl>
  </w:abstractNum>
  <w:abstractNum w:abstractNumId="1">
    <w:nsid w:val="881A33A8"/>
    <w:multiLevelType w:val="singleLevel"/>
    <w:tmpl w:val="881A33A8"/>
    <w:lvl w:ilvl="0" w:tentative="0">
      <w:start w:val="2"/>
      <w:numFmt w:val="chineseCounting"/>
      <w:suff w:val="nothing"/>
      <w:lvlText w:val="%1、"/>
      <w:lvlJc w:val="left"/>
      <w:rPr>
        <w:rFonts w:hint="eastAsia"/>
      </w:rPr>
    </w:lvl>
  </w:abstractNum>
  <w:abstractNum w:abstractNumId="2">
    <w:nsid w:val="93062340"/>
    <w:multiLevelType w:val="singleLevel"/>
    <w:tmpl w:val="93062340"/>
    <w:lvl w:ilvl="0" w:tentative="0">
      <w:start w:val="1"/>
      <w:numFmt w:val="decimal"/>
      <w:suff w:val="nothing"/>
      <w:lvlText w:val="%1、"/>
      <w:lvlJc w:val="left"/>
    </w:lvl>
  </w:abstractNum>
  <w:abstractNum w:abstractNumId="3">
    <w:nsid w:val="A527E13C"/>
    <w:multiLevelType w:val="singleLevel"/>
    <w:tmpl w:val="A527E13C"/>
    <w:lvl w:ilvl="0" w:tentative="0">
      <w:start w:val="1"/>
      <w:numFmt w:val="decimal"/>
      <w:suff w:val="nothing"/>
      <w:lvlText w:val="%1、"/>
      <w:lvlJc w:val="left"/>
    </w:lvl>
  </w:abstractNum>
  <w:abstractNum w:abstractNumId="4">
    <w:nsid w:val="B015443F"/>
    <w:multiLevelType w:val="singleLevel"/>
    <w:tmpl w:val="B015443F"/>
    <w:lvl w:ilvl="0" w:tentative="0">
      <w:start w:val="1"/>
      <w:numFmt w:val="decimal"/>
      <w:suff w:val="nothing"/>
      <w:lvlText w:val="%1、"/>
      <w:lvlJc w:val="left"/>
      <w:rPr>
        <w:rFonts w:hint="default"/>
        <w:color w:val="auto"/>
      </w:rPr>
    </w:lvl>
  </w:abstractNum>
  <w:abstractNum w:abstractNumId="5">
    <w:nsid w:val="0D49F232"/>
    <w:multiLevelType w:val="singleLevel"/>
    <w:tmpl w:val="0D49F232"/>
    <w:lvl w:ilvl="0" w:tentative="0">
      <w:start w:val="2"/>
      <w:numFmt w:val="chineseCounting"/>
      <w:suff w:val="space"/>
      <w:lvlText w:val="第%1章"/>
      <w:lvlJc w:val="left"/>
      <w:rPr>
        <w:rFonts w:hint="eastAsia"/>
      </w:rPr>
    </w:lvl>
  </w:abstractNum>
  <w:abstractNum w:abstractNumId="6">
    <w:nsid w:val="0E1FFC09"/>
    <w:multiLevelType w:val="singleLevel"/>
    <w:tmpl w:val="0E1FFC09"/>
    <w:lvl w:ilvl="0" w:tentative="0">
      <w:start w:val="1"/>
      <w:numFmt w:val="decimal"/>
      <w:suff w:val="nothing"/>
      <w:lvlText w:val="%1、"/>
      <w:lvlJc w:val="left"/>
    </w:lvl>
  </w:abstractNum>
  <w:abstractNum w:abstractNumId="7">
    <w:nsid w:val="35E34DBF"/>
    <w:multiLevelType w:val="singleLevel"/>
    <w:tmpl w:val="35E34DBF"/>
    <w:lvl w:ilvl="0" w:tentative="0">
      <w:start w:val="1"/>
      <w:numFmt w:val="decimal"/>
      <w:suff w:val="nothing"/>
      <w:lvlText w:val="%1、"/>
      <w:lvlJc w:val="left"/>
    </w:lvl>
  </w:abstractNum>
  <w:abstractNum w:abstractNumId="8">
    <w:nsid w:val="3769BF8E"/>
    <w:multiLevelType w:val="singleLevel"/>
    <w:tmpl w:val="3769BF8E"/>
    <w:lvl w:ilvl="0" w:tentative="0">
      <w:start w:val="1"/>
      <w:numFmt w:val="decimal"/>
      <w:suff w:val="nothing"/>
      <w:lvlText w:val="%1、"/>
      <w:lvlJc w:val="left"/>
    </w:lvl>
  </w:abstractNum>
  <w:abstractNum w:abstractNumId="9">
    <w:nsid w:val="733ECFB3"/>
    <w:multiLevelType w:val="singleLevel"/>
    <w:tmpl w:val="733ECFB3"/>
    <w:lvl w:ilvl="0" w:tentative="0">
      <w:start w:val="1"/>
      <w:numFmt w:val="decimal"/>
      <w:suff w:val="nothing"/>
      <w:lvlText w:val="%1、"/>
      <w:lvlJc w:val="left"/>
    </w:lvl>
  </w:abstractNum>
  <w:num w:numId="1">
    <w:abstractNumId w:val="1"/>
  </w:num>
  <w:num w:numId="2">
    <w:abstractNumId w:val="5"/>
  </w:num>
  <w:num w:numId="3">
    <w:abstractNumId w:val="9"/>
  </w:num>
  <w:num w:numId="4">
    <w:abstractNumId w:val="3"/>
  </w:num>
  <w:num w:numId="5">
    <w:abstractNumId w:val="6"/>
  </w:num>
  <w:num w:numId="6">
    <w:abstractNumId w:val="7"/>
  </w:num>
  <w:num w:numId="7">
    <w:abstractNumId w:val="4"/>
  </w:num>
  <w:num w:numId="8">
    <w:abstractNumId w:val="8"/>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785BC0"/>
    <w:rsid w:val="08785BC0"/>
    <w:rsid w:val="093C1139"/>
    <w:rsid w:val="13FD3CDB"/>
    <w:rsid w:val="16880487"/>
    <w:rsid w:val="1CC7757C"/>
    <w:rsid w:val="1E763007"/>
    <w:rsid w:val="227B5090"/>
    <w:rsid w:val="26BA0615"/>
    <w:rsid w:val="2B3B360F"/>
    <w:rsid w:val="2C2E4F21"/>
    <w:rsid w:val="2CED0939"/>
    <w:rsid w:val="2ED85387"/>
    <w:rsid w:val="31DD174B"/>
    <w:rsid w:val="323668DE"/>
    <w:rsid w:val="3747333B"/>
    <w:rsid w:val="3CE80D72"/>
    <w:rsid w:val="3E0D0E3B"/>
    <w:rsid w:val="3E29379B"/>
    <w:rsid w:val="45CF4C28"/>
    <w:rsid w:val="46E62229"/>
    <w:rsid w:val="477A3CE5"/>
    <w:rsid w:val="47AF4D11"/>
    <w:rsid w:val="4C57698A"/>
    <w:rsid w:val="54210D44"/>
    <w:rsid w:val="593E31E5"/>
    <w:rsid w:val="595219A0"/>
    <w:rsid w:val="5A8E4C59"/>
    <w:rsid w:val="5B0B1238"/>
    <w:rsid w:val="5B3A26EB"/>
    <w:rsid w:val="5CDC7EFE"/>
    <w:rsid w:val="5D7F6ADB"/>
    <w:rsid w:val="5E323B4E"/>
    <w:rsid w:val="628726BA"/>
    <w:rsid w:val="637D7E9A"/>
    <w:rsid w:val="64306D81"/>
    <w:rsid w:val="70875F7B"/>
    <w:rsid w:val="752C0E9F"/>
    <w:rsid w:val="75CD27AA"/>
    <w:rsid w:val="775F37AE"/>
    <w:rsid w:val="7AFE46AE"/>
    <w:rsid w:val="7B9D6653"/>
    <w:rsid w:val="7CE70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styleId="7">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2971</Words>
  <Characters>2995</Characters>
  <Lines>0</Lines>
  <Paragraphs>0</Paragraphs>
  <TotalTime>37</TotalTime>
  <ScaleCrop>false</ScaleCrop>
  <LinksUpToDate>false</LinksUpToDate>
  <CharactersWithSpaces>3036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2025-02-17T23:52:00Z</dcterms:created>
  <dc:creator>毛毛熊</dc:creator>
  <cp:lastModifiedBy>毛毛熊</cp:lastModifiedBy>
  <dcterms:modified xsi:type="dcterms:W3CDTF">2025-02-28T09:23:25Z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002EE98A5BFA421195AB88A4C5E145A9_11</vt:lpwstr>
  </property>
  <property fmtid="{D5CDD505-2E9C-101B-9397-08002B2CF9AE}" pid="4" name="KSOTemplateDocerSaveRecord">
    <vt:lpwstr>eyJoZGlkIjoiYmZkMTQxMTc3YTMwYTYzMTNiNmYyYWQ1ZTMxOWU3NTciLCJ1c2VySWQiOiI3ODYxMDIxMTYifQ==</vt:lpwstr>
  </property>
</Properties>
</file>