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AF232">
      <w:pPr>
        <w:jc w:val="center"/>
        <w:rPr>
          <w:rFonts w:ascii="黑体" w:hAnsi="黑体" w:eastAsia="黑体"/>
          <w:b/>
          <w:bCs/>
          <w:sz w:val="32"/>
          <w:szCs w:val="32"/>
        </w:rPr>
      </w:pPr>
      <w:r>
        <w:rPr>
          <w:rFonts w:hint="eastAsia" w:ascii="黑体" w:hAnsi="黑体" w:eastAsia="黑体"/>
          <w:b/>
          <w:bCs/>
          <w:sz w:val="32"/>
          <w:szCs w:val="32"/>
        </w:rPr>
        <w:t>湖北理工学院2025年普通专升本《</w:t>
      </w:r>
      <w:r>
        <w:rPr>
          <w:rFonts w:hint="eastAsia" w:ascii="黑体" w:hAnsi="黑体" w:eastAsia="黑体" w:cs="Arial"/>
          <w:b/>
          <w:bCs/>
          <w:sz w:val="32"/>
          <w:szCs w:val="32"/>
        </w:rPr>
        <w:t>电路》</w:t>
      </w:r>
      <w:r>
        <w:rPr>
          <w:rFonts w:hint="eastAsia" w:ascii="黑体" w:hAnsi="黑体" w:eastAsia="黑体"/>
          <w:b/>
          <w:bCs/>
          <w:sz w:val="32"/>
          <w:szCs w:val="32"/>
        </w:rPr>
        <w:t>考试大纲</w:t>
      </w:r>
    </w:p>
    <w:p w14:paraId="39B78151">
      <w:pPr>
        <w:spacing w:line="360" w:lineRule="auto"/>
        <w:rPr>
          <w:rFonts w:hint="eastAsia" w:ascii="宋体" w:hAnsi="宋体" w:cs="仿宋"/>
          <w:b/>
          <w:bCs/>
          <w:sz w:val="28"/>
          <w:szCs w:val="28"/>
        </w:rPr>
      </w:pPr>
    </w:p>
    <w:p w14:paraId="13AA72DC">
      <w:pPr>
        <w:adjustRightInd w:val="0"/>
        <w:snapToGrid w:val="0"/>
        <w:spacing w:line="360" w:lineRule="auto"/>
        <w:ind w:firstLine="562" w:firstLineChars="200"/>
        <w:rPr>
          <w:rFonts w:hint="eastAsia" w:ascii="宋体" w:hAnsi="宋体" w:cs="仿宋"/>
          <w:b/>
          <w:bCs/>
          <w:sz w:val="28"/>
          <w:szCs w:val="28"/>
        </w:rPr>
      </w:pPr>
      <w:r>
        <w:rPr>
          <w:rFonts w:hint="eastAsia" w:ascii="宋体" w:hAnsi="宋体" w:cs="仿宋"/>
          <w:b/>
          <w:bCs/>
          <w:sz w:val="28"/>
          <w:szCs w:val="28"/>
        </w:rPr>
        <w:t>一、课程性质与设置目的</w:t>
      </w:r>
    </w:p>
    <w:p w14:paraId="423D7061">
      <w:pPr>
        <w:pStyle w:val="6"/>
        <w:adjustRightInd w:val="0"/>
        <w:snapToGrid w:val="0"/>
        <w:spacing w:before="0" w:beforeAutospacing="0" w:after="0" w:afterAutospacing="0" w:line="360" w:lineRule="auto"/>
        <w:ind w:firstLine="480" w:firstLineChars="200"/>
        <w:jc w:val="both"/>
        <w:rPr>
          <w:rFonts w:cs="仿宋"/>
        </w:rPr>
      </w:pPr>
      <w:r>
        <w:rPr>
          <w:rFonts w:hint="eastAsia" w:cs="仿宋"/>
        </w:rPr>
        <w:t>《电路》是电气信息类专业的核心专业基础课程。通过本课程的学习，掌握电路的基础知识、基本规律与分析方法，为后续课程的学习及今后的实际工作打下基础。本课程考试是为在电气信息类及相关专业中选拔优秀专科毕业生进入本科阶段学习而组织的考试，</w:t>
      </w:r>
      <w:r>
        <w:rPr>
          <w:rFonts w:cs="仿宋"/>
        </w:rPr>
        <w:t>重点考察学生</w:t>
      </w:r>
      <w:r>
        <w:rPr>
          <w:rFonts w:hint="eastAsia" w:cs="仿宋"/>
        </w:rPr>
        <w:t>对</w:t>
      </w:r>
      <w:r>
        <w:rPr>
          <w:rFonts w:cs="仿宋"/>
        </w:rPr>
        <w:t>电路的基本概念</w:t>
      </w:r>
      <w:r>
        <w:rPr>
          <w:rFonts w:hint="eastAsia" w:cs="仿宋"/>
        </w:rPr>
        <w:t>、</w:t>
      </w:r>
      <w:r>
        <w:rPr>
          <w:rFonts w:cs="仿宋"/>
        </w:rPr>
        <w:t>基本理论的掌握程度，以及灵活运用电路理论和方法分析问题和解决问题的能力。</w:t>
      </w:r>
    </w:p>
    <w:p w14:paraId="1854AD3F">
      <w:pPr>
        <w:adjustRightInd w:val="0"/>
        <w:snapToGrid w:val="0"/>
        <w:spacing w:line="360" w:lineRule="auto"/>
        <w:ind w:firstLine="562" w:firstLineChars="200"/>
        <w:rPr>
          <w:rFonts w:hint="eastAsia" w:ascii="宋体" w:hAnsi="宋体" w:cs="仿宋"/>
          <w:b/>
          <w:bCs/>
          <w:sz w:val="28"/>
          <w:szCs w:val="28"/>
        </w:rPr>
      </w:pPr>
      <w:r>
        <w:rPr>
          <w:rFonts w:hint="eastAsia" w:ascii="宋体" w:hAnsi="宋体" w:cs="仿宋"/>
          <w:b/>
          <w:bCs/>
          <w:color w:val="000000"/>
          <w:sz w:val="28"/>
          <w:szCs w:val="28"/>
          <w:shd w:val="clear" w:color="auto" w:fill="FFFFFF"/>
        </w:rPr>
        <w:t>二、考核的基本要求</w:t>
      </w:r>
    </w:p>
    <w:p w14:paraId="0386FBB8">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1、掌握电路的基本概念和基本定理。</w:t>
      </w:r>
    </w:p>
    <w:p w14:paraId="6C736D4D">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2、掌握电阻电路的分析计算方法。</w:t>
      </w:r>
    </w:p>
    <w:p w14:paraId="23350A4D">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3、理解正弦稳态电路的基本概念，掌握正弦稳态电路和三相电路的分析计算方法。</w:t>
      </w:r>
    </w:p>
    <w:p w14:paraId="44D8F208">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4、掌握非正弦周期电流电路的分析计算方法。</w:t>
      </w:r>
    </w:p>
    <w:p w14:paraId="51C9F060">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5、掌握线性动态电路的时域分析方法。</w:t>
      </w:r>
    </w:p>
    <w:p w14:paraId="4B177A0D">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6、了解线性电路的复频域分析方法。</w:t>
      </w:r>
    </w:p>
    <w:p w14:paraId="5EB22321">
      <w:pPr>
        <w:adjustRightInd w:val="0"/>
        <w:snapToGrid w:val="0"/>
        <w:spacing w:line="360" w:lineRule="auto"/>
        <w:ind w:firstLine="562" w:firstLineChars="200"/>
        <w:rPr>
          <w:rFonts w:hint="eastAsia" w:ascii="宋体" w:hAnsi="宋体" w:eastAsia="宋体" w:cs="仿宋"/>
          <w:b/>
          <w:bCs/>
          <w:color w:val="000000"/>
          <w:sz w:val="28"/>
          <w:szCs w:val="28"/>
          <w:shd w:val="clear" w:color="auto" w:fill="FFFFFF"/>
        </w:rPr>
      </w:pPr>
      <w:r>
        <w:rPr>
          <w:rFonts w:hint="eastAsia" w:ascii="宋体" w:hAnsi="宋体" w:eastAsia="宋体" w:cs="仿宋"/>
          <w:b/>
          <w:bCs/>
          <w:color w:val="000000"/>
          <w:sz w:val="28"/>
          <w:szCs w:val="28"/>
          <w:shd w:val="clear" w:color="auto" w:fill="FFFFFF"/>
        </w:rPr>
        <w:t>三、考核的形式和方法</w:t>
      </w:r>
    </w:p>
    <w:p w14:paraId="14761745">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1</w:t>
      </w:r>
      <w:bookmarkStart w:id="0" w:name="OLE_LINK15"/>
      <w:bookmarkStart w:id="1" w:name="OLE_LINK14"/>
      <w:r>
        <w:rPr>
          <w:rFonts w:hAnsi="宋体" w:eastAsia="宋体" w:cs="仿宋"/>
          <w:kern w:val="0"/>
          <w:sz w:val="24"/>
          <w:szCs w:val="24"/>
        </w:rPr>
        <w:t>、考核形式</w:t>
      </w:r>
      <w:bookmarkEnd w:id="0"/>
      <w:bookmarkEnd w:id="1"/>
      <w:r>
        <w:rPr>
          <w:rFonts w:hAnsi="宋体" w:eastAsia="宋体" w:cs="仿宋"/>
          <w:kern w:val="0"/>
          <w:sz w:val="24"/>
          <w:szCs w:val="24"/>
        </w:rPr>
        <w:t>：闭卷笔试</w:t>
      </w:r>
    </w:p>
    <w:p w14:paraId="116770EF">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2、考核方法：试卷满分150分，考试时间120分钟。</w:t>
      </w:r>
    </w:p>
    <w:p w14:paraId="48644383">
      <w:pPr>
        <w:adjustRightInd w:val="0"/>
        <w:snapToGrid w:val="0"/>
        <w:spacing w:line="360" w:lineRule="auto"/>
        <w:ind w:firstLine="562" w:firstLineChars="200"/>
        <w:rPr>
          <w:rFonts w:hint="eastAsia" w:ascii="宋体" w:hAnsi="宋体" w:cs="仿宋"/>
          <w:sz w:val="28"/>
          <w:szCs w:val="28"/>
        </w:rPr>
      </w:pPr>
      <w:r>
        <w:rPr>
          <w:rFonts w:hint="eastAsia" w:ascii="宋体" w:hAnsi="宋体" w:cs="仿宋"/>
          <w:b/>
          <w:bCs/>
          <w:color w:val="000000"/>
          <w:sz w:val="28"/>
          <w:szCs w:val="28"/>
          <w:shd w:val="clear" w:color="auto" w:fill="FFFFFF"/>
        </w:rPr>
        <w:t>四、考核内容</w:t>
      </w:r>
    </w:p>
    <w:p w14:paraId="497EC564">
      <w:pPr>
        <w:pStyle w:val="2"/>
        <w:adjustRightInd w:val="0"/>
        <w:snapToGrid w:val="0"/>
        <w:spacing w:line="360" w:lineRule="auto"/>
        <w:ind w:firstLine="480" w:firstLineChars="200"/>
        <w:rPr>
          <w:rFonts w:hAnsi="宋体" w:eastAsia="宋体" w:cs="仿宋"/>
          <w:kern w:val="0"/>
          <w:sz w:val="24"/>
          <w:szCs w:val="24"/>
        </w:rPr>
      </w:pPr>
      <w:bookmarkStart w:id="2" w:name="OLE_LINK20"/>
      <w:bookmarkStart w:id="3" w:name="OLE_LINK18"/>
      <w:bookmarkStart w:id="4" w:name="OLE_LINK19"/>
      <w:r>
        <w:rPr>
          <w:rFonts w:hAnsi="宋体" w:eastAsia="宋体" w:cs="仿宋"/>
          <w:kern w:val="0"/>
          <w:sz w:val="24"/>
          <w:szCs w:val="24"/>
        </w:rPr>
        <w:t>第一部分</w:t>
      </w:r>
      <w:bookmarkEnd w:id="2"/>
      <w:bookmarkEnd w:id="3"/>
      <w:bookmarkEnd w:id="4"/>
      <w:r>
        <w:rPr>
          <w:rFonts w:hAnsi="宋体" w:eastAsia="宋体" w:cs="仿宋"/>
          <w:kern w:val="0"/>
          <w:sz w:val="24"/>
          <w:szCs w:val="24"/>
        </w:rPr>
        <w:t xml:space="preserve"> 电路的基本概念和基本定律</w:t>
      </w:r>
    </w:p>
    <w:p w14:paraId="1F676E23">
      <w:pPr>
        <w:pStyle w:val="2"/>
        <w:adjustRightInd w:val="0"/>
        <w:snapToGrid w:val="0"/>
        <w:spacing w:line="360" w:lineRule="auto"/>
        <w:ind w:firstLine="480" w:firstLineChars="200"/>
        <w:rPr>
          <w:rFonts w:hint="default" w:hAnsi="宋体" w:eastAsia="宋体" w:cs="宋体"/>
          <w:sz w:val="24"/>
        </w:rPr>
      </w:pPr>
      <w:r>
        <w:rPr>
          <w:rFonts w:hAnsi="宋体" w:eastAsia="宋体" w:cs="仿宋"/>
          <w:kern w:val="0"/>
          <w:sz w:val="24"/>
          <w:szCs w:val="24"/>
        </w:rPr>
        <w:t>重点掌握：电路的基本物理量，</w:t>
      </w:r>
      <w:r>
        <w:rPr>
          <w:rFonts w:hAnsi="宋体" w:eastAsia="宋体" w:cs="宋体"/>
          <w:sz w:val="24"/>
        </w:rPr>
        <w:t>电流、电压及其参考方向，</w:t>
      </w:r>
      <w:r>
        <w:rPr>
          <w:rFonts w:hAnsi="宋体" w:eastAsia="宋体" w:cs="仿宋"/>
          <w:kern w:val="0"/>
          <w:sz w:val="24"/>
          <w:szCs w:val="24"/>
        </w:rPr>
        <w:t>欧姆定律、基尔霍夫定律，</w:t>
      </w:r>
      <w:r>
        <w:rPr>
          <w:rFonts w:hAnsi="宋体" w:eastAsia="宋体" w:cs="宋体"/>
          <w:sz w:val="24"/>
        </w:rPr>
        <w:t>电路元件（电阻、电感、电容、电压源、电流源、受控电源）的特性，电功率的计算，理想运算放大器的特性，电位概念与计算。</w:t>
      </w:r>
    </w:p>
    <w:p w14:paraId="5DF90244">
      <w:pPr>
        <w:pStyle w:val="2"/>
        <w:adjustRightInd w:val="0"/>
        <w:snapToGrid w:val="0"/>
        <w:spacing w:line="360" w:lineRule="auto"/>
        <w:ind w:firstLine="480" w:firstLineChars="200"/>
        <w:rPr>
          <w:rFonts w:hAnsi="宋体" w:eastAsia="宋体" w:cs="仿宋"/>
          <w:kern w:val="0"/>
          <w:sz w:val="24"/>
          <w:szCs w:val="24"/>
        </w:rPr>
      </w:pPr>
      <w:bookmarkStart w:id="5" w:name="OLE_LINK22"/>
      <w:bookmarkStart w:id="6" w:name="OLE_LINK21"/>
      <w:r>
        <w:rPr>
          <w:rFonts w:hAnsi="宋体" w:eastAsia="宋体" w:cs="仿宋"/>
          <w:kern w:val="0"/>
          <w:sz w:val="24"/>
          <w:szCs w:val="24"/>
        </w:rPr>
        <w:t>第二部分</w:t>
      </w:r>
      <w:bookmarkEnd w:id="5"/>
      <w:bookmarkEnd w:id="6"/>
      <w:r>
        <w:rPr>
          <w:rFonts w:hAnsi="宋体" w:eastAsia="宋体" w:cs="仿宋"/>
          <w:kern w:val="0"/>
          <w:sz w:val="24"/>
          <w:szCs w:val="24"/>
        </w:rPr>
        <w:t xml:space="preserve"> 电阻电路的分析计算</w:t>
      </w:r>
    </w:p>
    <w:p w14:paraId="34D8C478">
      <w:pPr>
        <w:pStyle w:val="2"/>
        <w:adjustRightInd w:val="0"/>
        <w:snapToGrid w:val="0"/>
        <w:spacing w:line="360" w:lineRule="auto"/>
        <w:ind w:firstLine="480" w:firstLineChars="200"/>
        <w:rPr>
          <w:rFonts w:hint="default" w:hAnsi="宋体" w:eastAsia="宋体" w:cs="仿宋"/>
          <w:kern w:val="0"/>
          <w:sz w:val="24"/>
          <w:szCs w:val="24"/>
        </w:rPr>
      </w:pPr>
      <w:r>
        <w:rPr>
          <w:rFonts w:hAnsi="宋体" w:eastAsia="宋体" w:cs="仿宋"/>
          <w:kern w:val="0"/>
          <w:sz w:val="24"/>
          <w:szCs w:val="24"/>
        </w:rPr>
        <w:t>重点掌握：电阻（电导）的串、并联分析计算，两种电源模型的等效变换，星形和三角形联接电路的等效互换，</w:t>
      </w:r>
      <w:r>
        <w:rPr>
          <w:rFonts w:hAnsi="宋体" w:eastAsia="宋体" w:cs="宋体"/>
          <w:sz w:val="24"/>
        </w:rPr>
        <w:t>输入电阻的计算，</w:t>
      </w:r>
      <w:r>
        <w:rPr>
          <w:rFonts w:hAnsi="宋体" w:eastAsia="宋体" w:cs="仿宋"/>
          <w:kern w:val="0"/>
          <w:sz w:val="24"/>
          <w:szCs w:val="24"/>
        </w:rPr>
        <w:t>支路法、网孔法(或回路法)、结点法等网络方程计算方法，叠加定理、齐性定理、替代定理、戴维宁定理、诺顿定理和最大功率传输定理，</w:t>
      </w:r>
      <w:r>
        <w:rPr>
          <w:rFonts w:hAnsi="宋体" w:eastAsia="宋体" w:cs="宋体"/>
          <w:sz w:val="24"/>
        </w:rPr>
        <w:t>含受控源电路的分析计算，</w:t>
      </w:r>
      <w:r>
        <w:rPr>
          <w:rFonts w:hAnsi="宋体" w:eastAsia="宋体" w:cs="仿宋"/>
          <w:kern w:val="0"/>
          <w:sz w:val="24"/>
          <w:szCs w:val="24"/>
        </w:rPr>
        <w:t>含理想运算放大器电路的分析计算。</w:t>
      </w:r>
    </w:p>
    <w:p w14:paraId="7AF5FA4B">
      <w:pPr>
        <w:pStyle w:val="2"/>
        <w:adjustRightInd w:val="0"/>
        <w:snapToGrid w:val="0"/>
        <w:spacing w:line="360" w:lineRule="auto"/>
        <w:ind w:firstLine="480" w:firstLineChars="200"/>
        <w:rPr>
          <w:rFonts w:hAnsi="宋体" w:eastAsia="宋体" w:cs="仿宋"/>
          <w:kern w:val="0"/>
          <w:sz w:val="24"/>
          <w:szCs w:val="24"/>
        </w:rPr>
      </w:pPr>
      <w:bookmarkStart w:id="7" w:name="OLE_LINK23"/>
      <w:bookmarkStart w:id="8" w:name="OLE_LINK24"/>
      <w:r>
        <w:rPr>
          <w:rFonts w:hAnsi="宋体" w:eastAsia="宋体" w:cs="仿宋"/>
          <w:kern w:val="0"/>
          <w:sz w:val="24"/>
          <w:szCs w:val="24"/>
        </w:rPr>
        <w:t>第三部分</w:t>
      </w:r>
      <w:bookmarkEnd w:id="7"/>
      <w:bookmarkEnd w:id="8"/>
      <w:r>
        <w:rPr>
          <w:rFonts w:hAnsi="宋体" w:eastAsia="宋体" w:cs="仿宋"/>
          <w:kern w:val="0"/>
          <w:sz w:val="24"/>
          <w:szCs w:val="24"/>
        </w:rPr>
        <w:t xml:space="preserve"> 正弦稳态电路</w:t>
      </w:r>
    </w:p>
    <w:p w14:paraId="4990131F">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重点掌握：正弦量及其相量表示，相量图及借助相量图的分析方法，相量形式的基尔霍夫定律，电路元件伏安关系的相量形式，复阻抗、复导纳及其等效互换，有功功率、有功功率、视在功率的概念及其计算，功率因数及其提高，正弦稳态电路的相量法分析计算，串、并联谐振电路的分析计算，含耦合电感电路的分析计算，</w:t>
      </w:r>
      <w:r>
        <w:rPr>
          <w:rFonts w:hAnsi="宋体" w:eastAsia="宋体" w:cs="宋体"/>
          <w:sz w:val="24"/>
        </w:rPr>
        <w:t>理想变压器的电压电流关系及阻抗变换性质。</w:t>
      </w:r>
    </w:p>
    <w:p w14:paraId="373A5A1D">
      <w:pPr>
        <w:pStyle w:val="2"/>
        <w:adjustRightInd w:val="0"/>
        <w:snapToGrid w:val="0"/>
        <w:spacing w:line="360" w:lineRule="auto"/>
        <w:ind w:firstLine="480" w:firstLineChars="200"/>
        <w:rPr>
          <w:rFonts w:hAnsi="宋体" w:eastAsia="宋体" w:cs="仿宋"/>
          <w:kern w:val="0"/>
          <w:sz w:val="24"/>
          <w:szCs w:val="24"/>
        </w:rPr>
      </w:pPr>
      <w:bookmarkStart w:id="9" w:name="OLE_LINK26"/>
      <w:bookmarkStart w:id="10" w:name="OLE_LINK25"/>
      <w:r>
        <w:rPr>
          <w:rFonts w:hAnsi="宋体" w:eastAsia="宋体" w:cs="仿宋"/>
          <w:kern w:val="0"/>
          <w:sz w:val="24"/>
          <w:szCs w:val="24"/>
        </w:rPr>
        <w:t>第四部分</w:t>
      </w:r>
      <w:bookmarkEnd w:id="9"/>
      <w:bookmarkEnd w:id="10"/>
      <w:r>
        <w:rPr>
          <w:rFonts w:hAnsi="宋体" w:eastAsia="宋体" w:cs="仿宋"/>
          <w:kern w:val="0"/>
          <w:sz w:val="24"/>
          <w:szCs w:val="24"/>
        </w:rPr>
        <w:t xml:space="preserve"> 三相电路</w:t>
      </w:r>
    </w:p>
    <w:p w14:paraId="549FD9CF">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重点掌握：对称三相正弦量，三相电源和负载的星形、三角形联接，对称三相电路线/相电压、电流关系，三相电路的分析计算，三相电路的功率及其计算。</w:t>
      </w:r>
    </w:p>
    <w:p w14:paraId="1373BAC9">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第五部分 非正弦周期电流电路</w:t>
      </w:r>
    </w:p>
    <w:p w14:paraId="59D169AA">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重点掌握：周期量的有效值、平均值，非正弦周期电流电路的分析计算，非正弦周期电流电路的功率计算。</w:t>
      </w:r>
    </w:p>
    <w:p w14:paraId="51CF84E2">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第六部分 线性动态电路的时域分析</w:t>
      </w:r>
    </w:p>
    <w:p w14:paraId="70C174A1">
      <w:pPr>
        <w:pStyle w:val="2"/>
        <w:adjustRightInd w:val="0"/>
        <w:snapToGrid w:val="0"/>
        <w:spacing w:line="360" w:lineRule="auto"/>
        <w:ind w:firstLine="480" w:firstLineChars="200"/>
        <w:rPr>
          <w:rFonts w:hint="default" w:hAnsi="宋体" w:eastAsia="宋体" w:cs="宋体"/>
          <w:sz w:val="24"/>
        </w:rPr>
      </w:pPr>
      <w:r>
        <w:rPr>
          <w:rFonts w:hAnsi="宋体" w:eastAsia="宋体" w:cs="仿宋"/>
          <w:kern w:val="0"/>
          <w:sz w:val="24"/>
          <w:szCs w:val="24"/>
        </w:rPr>
        <w:t>重点掌握：换路定则，初始值的确定，</w:t>
      </w:r>
      <w:r>
        <w:rPr>
          <w:rFonts w:hAnsi="宋体" w:eastAsia="宋体" w:cs="宋体"/>
          <w:sz w:val="24"/>
        </w:rPr>
        <w:t>一阶电路的零输入响应、零状态响应、全响应，三要素法求解一阶电路的响应。</w:t>
      </w:r>
    </w:p>
    <w:p w14:paraId="5A060812">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第七部分 线性电路的复频域分析</w:t>
      </w:r>
    </w:p>
    <w:p w14:paraId="34707FD8">
      <w:pPr>
        <w:pStyle w:val="2"/>
        <w:adjustRightInd w:val="0"/>
        <w:snapToGrid w:val="0"/>
        <w:spacing w:line="360" w:lineRule="auto"/>
        <w:ind w:firstLine="480" w:firstLineChars="200"/>
        <w:rPr>
          <w:rFonts w:hAnsi="宋体" w:eastAsia="宋体" w:cs="仿宋"/>
          <w:kern w:val="0"/>
          <w:sz w:val="24"/>
          <w:szCs w:val="24"/>
        </w:rPr>
      </w:pPr>
      <w:r>
        <w:rPr>
          <w:rFonts w:hAnsi="宋体" w:eastAsia="宋体" w:cs="仿宋"/>
          <w:kern w:val="0"/>
          <w:sz w:val="24"/>
          <w:szCs w:val="24"/>
        </w:rPr>
        <w:t>重点了解：拉普拉斯变换的定义，基本性质，用部分分式展开法求拉普拉斯反变换，基尔霍夫定律及常用元件伏安关系的复频域形式，线性电路的复频域分析法。</w:t>
      </w:r>
    </w:p>
    <w:p w14:paraId="27DA3885">
      <w:pPr>
        <w:adjustRightInd w:val="0"/>
        <w:snapToGrid w:val="0"/>
        <w:spacing w:before="156" w:beforeLines="50" w:after="156" w:afterLines="50" w:line="360" w:lineRule="auto"/>
        <w:ind w:firstLine="562" w:firstLineChars="200"/>
        <w:rPr>
          <w:rFonts w:hint="eastAsia" w:ascii="宋体" w:hAnsi="宋体" w:cs="仿宋"/>
          <w:b/>
          <w:bCs/>
          <w:color w:val="000000"/>
          <w:sz w:val="28"/>
          <w:szCs w:val="28"/>
        </w:rPr>
      </w:pPr>
      <w:r>
        <w:rPr>
          <w:rFonts w:hint="eastAsia" w:ascii="宋体" w:hAnsi="宋体" w:cs="仿宋"/>
          <w:b/>
          <w:bCs/>
          <w:color w:val="000000"/>
          <w:sz w:val="28"/>
          <w:szCs w:val="28"/>
        </w:rPr>
        <w:t>五、各部分内容近似分值</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1"/>
        <w:gridCol w:w="3946"/>
        <w:gridCol w:w="1499"/>
      </w:tblGrid>
      <w:tr w14:paraId="70F4E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3181" w:type="dxa"/>
            <w:vAlign w:val="center"/>
          </w:tcPr>
          <w:p w14:paraId="79B71058">
            <w:pPr>
              <w:tabs>
                <w:tab w:val="center" w:pos="5203"/>
              </w:tabs>
              <w:adjustRightInd w:val="0"/>
              <w:snapToGrid w:val="0"/>
              <w:jc w:val="center"/>
              <w:rPr>
                <w:rFonts w:hint="eastAsia" w:ascii="宋体" w:hAnsi="宋体" w:eastAsia="宋体" w:cs="仿宋"/>
                <w:b/>
                <w:bCs/>
                <w:kern w:val="0"/>
                <w:sz w:val="24"/>
              </w:rPr>
            </w:pPr>
            <w:r>
              <w:rPr>
                <w:rFonts w:hint="eastAsia" w:ascii="宋体" w:hAnsi="宋体" w:eastAsia="宋体" w:cs="仿宋"/>
                <w:b/>
                <w:bCs/>
                <w:kern w:val="0"/>
                <w:sz w:val="24"/>
              </w:rPr>
              <w:t>考试内容</w:t>
            </w:r>
          </w:p>
        </w:tc>
        <w:tc>
          <w:tcPr>
            <w:tcW w:w="3946" w:type="dxa"/>
            <w:vAlign w:val="center"/>
          </w:tcPr>
          <w:p w14:paraId="7EFAEB7D">
            <w:pPr>
              <w:tabs>
                <w:tab w:val="center" w:pos="5203"/>
              </w:tabs>
              <w:adjustRightInd w:val="0"/>
              <w:snapToGrid w:val="0"/>
              <w:jc w:val="center"/>
              <w:rPr>
                <w:rFonts w:hint="eastAsia" w:ascii="宋体" w:hAnsi="宋体" w:eastAsia="宋体" w:cs="仿宋"/>
                <w:b/>
                <w:bCs/>
                <w:kern w:val="0"/>
                <w:sz w:val="24"/>
              </w:rPr>
            </w:pPr>
            <w:r>
              <w:rPr>
                <w:rFonts w:hint="eastAsia" w:ascii="宋体" w:hAnsi="宋体" w:eastAsia="宋体" w:cs="仿宋"/>
                <w:b/>
                <w:bCs/>
                <w:kern w:val="0"/>
                <w:sz w:val="24"/>
              </w:rPr>
              <w:t>涉及的章节</w:t>
            </w:r>
          </w:p>
        </w:tc>
        <w:tc>
          <w:tcPr>
            <w:tcW w:w="1499" w:type="dxa"/>
            <w:vAlign w:val="center"/>
          </w:tcPr>
          <w:p w14:paraId="7B290D6C">
            <w:pPr>
              <w:tabs>
                <w:tab w:val="center" w:pos="5203"/>
              </w:tabs>
              <w:adjustRightInd w:val="0"/>
              <w:snapToGrid w:val="0"/>
              <w:jc w:val="center"/>
              <w:rPr>
                <w:rFonts w:hint="eastAsia" w:ascii="宋体" w:hAnsi="宋体" w:eastAsia="宋体" w:cs="仿宋"/>
                <w:b/>
                <w:bCs/>
                <w:kern w:val="0"/>
                <w:sz w:val="24"/>
              </w:rPr>
            </w:pPr>
            <w:r>
              <w:rPr>
                <w:rFonts w:hint="eastAsia" w:ascii="宋体" w:hAnsi="宋体" w:eastAsia="宋体" w:cs="仿宋"/>
                <w:b/>
                <w:bCs/>
                <w:kern w:val="0"/>
                <w:sz w:val="24"/>
              </w:rPr>
              <w:t>分值</w:t>
            </w:r>
          </w:p>
        </w:tc>
      </w:tr>
      <w:tr w14:paraId="3793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3181" w:type="dxa"/>
            <w:vAlign w:val="center"/>
          </w:tcPr>
          <w:p w14:paraId="7D7D6E54">
            <w:pPr>
              <w:tabs>
                <w:tab w:val="center" w:pos="5203"/>
              </w:tabs>
              <w:adjustRightInd w:val="0"/>
              <w:snapToGrid w:val="0"/>
              <w:jc w:val="center"/>
              <w:rPr>
                <w:rFonts w:hint="eastAsia" w:ascii="宋体" w:hAnsi="宋体" w:eastAsia="宋体" w:cs="仿宋"/>
                <w:kern w:val="0"/>
                <w:sz w:val="24"/>
              </w:rPr>
            </w:pPr>
            <w:bookmarkStart w:id="11" w:name="OLE_LINK2" w:colFirst="2" w:colLast="2"/>
            <w:bookmarkStart w:id="12" w:name="_Hlk291018794"/>
            <w:bookmarkStart w:id="13" w:name="OLE_LINK1" w:colFirst="2" w:colLast="2"/>
            <w:r>
              <w:rPr>
                <w:rFonts w:hAnsi="宋体" w:eastAsia="宋体" w:cs="仿宋"/>
                <w:kern w:val="0"/>
                <w:sz w:val="24"/>
              </w:rPr>
              <w:t>电阻电路的分析计算</w:t>
            </w:r>
          </w:p>
        </w:tc>
        <w:tc>
          <w:tcPr>
            <w:tcW w:w="3946" w:type="dxa"/>
            <w:vAlign w:val="center"/>
          </w:tcPr>
          <w:p w14:paraId="4FFE8ED1">
            <w:pPr>
              <w:tabs>
                <w:tab w:val="center" w:pos="5203"/>
              </w:tabs>
              <w:adjustRightInd w:val="0"/>
              <w:snapToGrid w:val="0"/>
              <w:jc w:val="center"/>
              <w:rPr>
                <w:rFonts w:hint="eastAsia" w:ascii="宋体" w:hAnsi="宋体" w:eastAsia="宋体" w:cs="仿宋"/>
                <w:kern w:val="0"/>
                <w:sz w:val="24"/>
              </w:rPr>
            </w:pPr>
            <w:r>
              <w:rPr>
                <w:rFonts w:ascii="宋体" w:hAnsi="宋体" w:eastAsia="宋体" w:cs="仿宋"/>
                <w:kern w:val="0"/>
                <w:sz w:val="24"/>
              </w:rPr>
              <w:t>第一、二部分</w:t>
            </w:r>
          </w:p>
        </w:tc>
        <w:tc>
          <w:tcPr>
            <w:tcW w:w="1499" w:type="dxa"/>
            <w:vAlign w:val="center"/>
          </w:tcPr>
          <w:p w14:paraId="73B9BCF7">
            <w:pPr>
              <w:tabs>
                <w:tab w:val="center" w:pos="5203"/>
              </w:tabs>
              <w:adjustRightInd w:val="0"/>
              <w:snapToGrid w:val="0"/>
              <w:jc w:val="center"/>
              <w:rPr>
                <w:rFonts w:hint="eastAsia" w:ascii="宋体" w:hAnsi="宋体" w:eastAsia="宋体" w:cs="仿宋"/>
                <w:kern w:val="0"/>
                <w:sz w:val="24"/>
              </w:rPr>
            </w:pPr>
            <w:r>
              <w:rPr>
                <w:rFonts w:hint="eastAsia" w:ascii="宋体" w:hAnsi="宋体" w:eastAsia="宋体" w:cs="仿宋"/>
                <w:kern w:val="0"/>
                <w:sz w:val="24"/>
              </w:rPr>
              <w:t>80</w:t>
            </w:r>
          </w:p>
        </w:tc>
      </w:tr>
      <w:tr w14:paraId="4EE02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3181" w:type="dxa"/>
            <w:vAlign w:val="center"/>
          </w:tcPr>
          <w:p w14:paraId="2A5CEAEA">
            <w:pPr>
              <w:tabs>
                <w:tab w:val="center" w:pos="5203"/>
              </w:tabs>
              <w:adjustRightInd w:val="0"/>
              <w:snapToGrid w:val="0"/>
              <w:jc w:val="center"/>
              <w:rPr>
                <w:rFonts w:hint="eastAsia" w:ascii="宋体" w:hAnsi="宋体" w:eastAsia="宋体" w:cs="仿宋"/>
                <w:kern w:val="0"/>
                <w:sz w:val="24"/>
              </w:rPr>
            </w:pPr>
            <w:r>
              <w:rPr>
                <w:rFonts w:hAnsi="宋体" w:eastAsia="宋体" w:cs="仿宋"/>
                <w:kern w:val="0"/>
                <w:sz w:val="24"/>
              </w:rPr>
              <w:t>正弦稳态电路</w:t>
            </w:r>
            <w:r>
              <w:rPr>
                <w:rFonts w:hint="eastAsia" w:hAnsi="宋体" w:eastAsia="宋体" w:cs="仿宋"/>
                <w:kern w:val="0"/>
                <w:sz w:val="24"/>
              </w:rPr>
              <w:t>及</w:t>
            </w:r>
            <w:r>
              <w:rPr>
                <w:rFonts w:hAnsi="宋体" w:eastAsia="宋体" w:cs="仿宋"/>
                <w:kern w:val="0"/>
                <w:sz w:val="24"/>
              </w:rPr>
              <w:t>非正弦周期电流电路</w:t>
            </w:r>
            <w:r>
              <w:rPr>
                <w:rFonts w:hint="eastAsia" w:hAnsi="宋体" w:eastAsia="宋体" w:cs="仿宋"/>
                <w:kern w:val="0"/>
                <w:sz w:val="24"/>
              </w:rPr>
              <w:t>的分析计算</w:t>
            </w:r>
          </w:p>
        </w:tc>
        <w:tc>
          <w:tcPr>
            <w:tcW w:w="3946" w:type="dxa"/>
            <w:vAlign w:val="center"/>
          </w:tcPr>
          <w:p w14:paraId="49ACD731">
            <w:pPr>
              <w:tabs>
                <w:tab w:val="center" w:pos="5203"/>
              </w:tabs>
              <w:adjustRightInd w:val="0"/>
              <w:snapToGrid w:val="0"/>
              <w:jc w:val="center"/>
              <w:rPr>
                <w:rFonts w:hint="eastAsia" w:ascii="宋体" w:hAnsi="宋体" w:eastAsia="宋体" w:cs="仿宋"/>
                <w:kern w:val="0"/>
                <w:sz w:val="24"/>
              </w:rPr>
            </w:pPr>
            <w:r>
              <w:rPr>
                <w:rFonts w:ascii="宋体" w:hAnsi="宋体" w:eastAsia="宋体" w:cs="仿宋"/>
                <w:kern w:val="0"/>
                <w:sz w:val="24"/>
              </w:rPr>
              <w:t>第三、四、五部分</w:t>
            </w:r>
          </w:p>
        </w:tc>
        <w:tc>
          <w:tcPr>
            <w:tcW w:w="1499" w:type="dxa"/>
            <w:vAlign w:val="center"/>
          </w:tcPr>
          <w:p w14:paraId="06C857E2">
            <w:pPr>
              <w:tabs>
                <w:tab w:val="center" w:pos="5203"/>
              </w:tabs>
              <w:adjustRightInd w:val="0"/>
              <w:snapToGrid w:val="0"/>
              <w:jc w:val="center"/>
              <w:rPr>
                <w:rFonts w:hint="eastAsia" w:ascii="宋体" w:hAnsi="宋体" w:eastAsia="宋体" w:cs="仿宋"/>
                <w:kern w:val="0"/>
                <w:sz w:val="24"/>
              </w:rPr>
            </w:pPr>
            <w:r>
              <w:rPr>
                <w:rFonts w:hint="eastAsia" w:ascii="宋体" w:hAnsi="宋体" w:eastAsia="宋体" w:cs="仿宋"/>
                <w:kern w:val="0"/>
                <w:sz w:val="24"/>
              </w:rPr>
              <w:t>50</w:t>
            </w:r>
          </w:p>
        </w:tc>
      </w:tr>
      <w:tr w14:paraId="64768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81" w:type="dxa"/>
            <w:vAlign w:val="center"/>
          </w:tcPr>
          <w:p w14:paraId="094BD93E">
            <w:pPr>
              <w:tabs>
                <w:tab w:val="center" w:pos="5203"/>
              </w:tabs>
              <w:adjustRightInd w:val="0"/>
              <w:snapToGrid w:val="0"/>
              <w:jc w:val="center"/>
              <w:rPr>
                <w:rFonts w:hint="eastAsia" w:ascii="宋体" w:hAnsi="宋体" w:eastAsia="宋体" w:cs="仿宋"/>
                <w:kern w:val="0"/>
                <w:sz w:val="24"/>
              </w:rPr>
            </w:pPr>
            <w:r>
              <w:rPr>
                <w:rFonts w:hAnsi="宋体" w:eastAsia="宋体" w:cs="仿宋"/>
                <w:kern w:val="0"/>
                <w:sz w:val="24"/>
              </w:rPr>
              <w:t>动态电路的</w:t>
            </w:r>
            <w:r>
              <w:rPr>
                <w:rFonts w:hint="eastAsia" w:hAnsi="宋体" w:eastAsia="宋体" w:cs="仿宋"/>
                <w:kern w:val="0"/>
                <w:sz w:val="24"/>
              </w:rPr>
              <w:t>分析计算</w:t>
            </w:r>
          </w:p>
        </w:tc>
        <w:tc>
          <w:tcPr>
            <w:tcW w:w="3946" w:type="dxa"/>
            <w:vAlign w:val="center"/>
          </w:tcPr>
          <w:p w14:paraId="3DD9D938">
            <w:pPr>
              <w:tabs>
                <w:tab w:val="center" w:pos="5203"/>
              </w:tabs>
              <w:adjustRightInd w:val="0"/>
              <w:snapToGrid w:val="0"/>
              <w:jc w:val="center"/>
              <w:rPr>
                <w:rFonts w:hint="eastAsia" w:ascii="宋体" w:hAnsi="宋体" w:eastAsia="宋体" w:cs="仿宋"/>
                <w:kern w:val="0"/>
                <w:sz w:val="24"/>
              </w:rPr>
            </w:pPr>
            <w:r>
              <w:rPr>
                <w:rFonts w:ascii="宋体" w:hAnsi="宋体" w:eastAsia="宋体" w:cs="仿宋"/>
                <w:kern w:val="0"/>
                <w:sz w:val="24"/>
              </w:rPr>
              <w:t>第</w:t>
            </w:r>
            <w:r>
              <w:rPr>
                <w:rFonts w:hint="eastAsia" w:ascii="宋体" w:hAnsi="宋体" w:eastAsia="宋体" w:cs="仿宋"/>
                <w:kern w:val="0"/>
                <w:sz w:val="24"/>
              </w:rPr>
              <w:t>六、</w:t>
            </w:r>
            <w:r>
              <w:rPr>
                <w:rFonts w:ascii="宋体" w:hAnsi="宋体" w:eastAsia="宋体" w:cs="仿宋"/>
                <w:kern w:val="0"/>
                <w:sz w:val="24"/>
              </w:rPr>
              <w:t>七部分</w:t>
            </w:r>
          </w:p>
        </w:tc>
        <w:tc>
          <w:tcPr>
            <w:tcW w:w="1499" w:type="dxa"/>
            <w:vAlign w:val="center"/>
          </w:tcPr>
          <w:p w14:paraId="696F0DF0">
            <w:pPr>
              <w:tabs>
                <w:tab w:val="center" w:pos="5203"/>
              </w:tabs>
              <w:adjustRightInd w:val="0"/>
              <w:snapToGrid w:val="0"/>
              <w:jc w:val="center"/>
              <w:rPr>
                <w:rFonts w:hint="eastAsia" w:ascii="宋体" w:hAnsi="宋体" w:eastAsia="宋体" w:cs="仿宋"/>
                <w:kern w:val="0"/>
                <w:sz w:val="24"/>
              </w:rPr>
            </w:pPr>
            <w:r>
              <w:rPr>
                <w:rFonts w:hint="eastAsia" w:ascii="宋体" w:hAnsi="宋体" w:eastAsia="宋体" w:cs="仿宋"/>
                <w:kern w:val="0"/>
                <w:sz w:val="24"/>
              </w:rPr>
              <w:t>20</w:t>
            </w:r>
          </w:p>
        </w:tc>
      </w:tr>
      <w:bookmarkEnd w:id="11"/>
      <w:bookmarkEnd w:id="12"/>
      <w:bookmarkEnd w:id="13"/>
      <w:tr w14:paraId="7A1FF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127" w:type="dxa"/>
            <w:gridSpan w:val="2"/>
            <w:vAlign w:val="center"/>
          </w:tcPr>
          <w:p w14:paraId="33045B6E">
            <w:pPr>
              <w:tabs>
                <w:tab w:val="center" w:pos="5203"/>
              </w:tabs>
              <w:adjustRightInd w:val="0"/>
              <w:snapToGrid w:val="0"/>
              <w:jc w:val="center"/>
              <w:rPr>
                <w:rFonts w:hint="eastAsia" w:ascii="宋体" w:hAnsi="宋体" w:eastAsia="宋体" w:cs="仿宋"/>
                <w:kern w:val="0"/>
                <w:sz w:val="24"/>
              </w:rPr>
            </w:pPr>
            <w:r>
              <w:rPr>
                <w:rFonts w:hint="eastAsia" w:ascii="宋体" w:hAnsi="宋体" w:eastAsia="宋体" w:cs="仿宋"/>
                <w:kern w:val="0"/>
                <w:sz w:val="24"/>
              </w:rPr>
              <w:t>合计</w:t>
            </w:r>
          </w:p>
        </w:tc>
        <w:tc>
          <w:tcPr>
            <w:tcW w:w="1499" w:type="dxa"/>
            <w:vAlign w:val="center"/>
          </w:tcPr>
          <w:p w14:paraId="49346553">
            <w:pPr>
              <w:tabs>
                <w:tab w:val="center" w:pos="5203"/>
              </w:tabs>
              <w:adjustRightInd w:val="0"/>
              <w:snapToGrid w:val="0"/>
              <w:jc w:val="center"/>
              <w:rPr>
                <w:rFonts w:hint="eastAsia" w:ascii="宋体" w:hAnsi="宋体" w:eastAsia="宋体" w:cs="仿宋"/>
                <w:kern w:val="0"/>
                <w:sz w:val="24"/>
              </w:rPr>
            </w:pPr>
            <w:r>
              <w:rPr>
                <w:rFonts w:hint="eastAsia" w:ascii="宋体" w:hAnsi="宋体" w:eastAsia="宋体" w:cs="仿宋"/>
                <w:kern w:val="0"/>
                <w:sz w:val="24"/>
              </w:rPr>
              <w:t>150</w:t>
            </w:r>
          </w:p>
        </w:tc>
      </w:tr>
    </w:tbl>
    <w:p w14:paraId="472B7D09">
      <w:pPr>
        <w:adjustRightInd w:val="0"/>
        <w:snapToGrid w:val="0"/>
        <w:spacing w:before="156" w:beforeLines="50" w:line="360" w:lineRule="auto"/>
        <w:ind w:firstLine="562" w:firstLineChars="200"/>
        <w:rPr>
          <w:rFonts w:hint="eastAsia" w:ascii="宋体" w:hAnsi="宋体" w:cs="仿宋"/>
          <w:b/>
          <w:bCs/>
          <w:color w:val="000000"/>
          <w:sz w:val="28"/>
          <w:szCs w:val="28"/>
        </w:rPr>
      </w:pPr>
    </w:p>
    <w:p w14:paraId="491C3F29">
      <w:pPr>
        <w:adjustRightInd w:val="0"/>
        <w:snapToGrid w:val="0"/>
        <w:spacing w:before="156" w:beforeLines="50" w:line="360" w:lineRule="auto"/>
        <w:ind w:firstLine="562" w:firstLineChars="200"/>
        <w:rPr>
          <w:rFonts w:ascii="宋体" w:hAnsi="宋体" w:cs="仿宋"/>
          <w:b/>
          <w:bCs/>
          <w:color w:val="000000"/>
          <w:sz w:val="28"/>
          <w:szCs w:val="28"/>
        </w:rPr>
      </w:pPr>
      <w:r>
        <w:rPr>
          <w:rFonts w:hint="eastAsia" w:ascii="宋体" w:hAnsi="宋体" w:cs="仿宋"/>
          <w:b/>
          <w:bCs/>
          <w:color w:val="000000"/>
          <w:sz w:val="28"/>
          <w:szCs w:val="28"/>
        </w:rPr>
        <w:t>六、试卷结构</w:t>
      </w:r>
    </w:p>
    <w:p w14:paraId="2E3A51F5">
      <w:pPr>
        <w:adjustRightInd w:val="0"/>
        <w:snapToGrid w:val="0"/>
        <w:spacing w:line="360" w:lineRule="auto"/>
        <w:ind w:firstLine="480" w:firstLineChars="200"/>
        <w:rPr>
          <w:rFonts w:hint="default" w:ascii="宋体" w:hAnsi="宋体" w:eastAsia="宋体" w:cs="仿宋"/>
          <w:kern w:val="0"/>
          <w:sz w:val="24"/>
          <w:lang w:val="en-US" w:eastAsia="zh-CN"/>
        </w:rPr>
      </w:pPr>
      <w:r>
        <w:rPr>
          <w:rFonts w:hint="eastAsia" w:ascii="宋体" w:hAnsi="宋体" w:eastAsia="宋体" w:cs="仿宋"/>
          <w:kern w:val="0"/>
          <w:sz w:val="24"/>
          <w:lang w:val="en-US" w:eastAsia="zh-CN"/>
        </w:rPr>
        <w:t>无选择、判断题，其它类型不限。</w:t>
      </w:r>
    </w:p>
    <w:p w14:paraId="7B008D05">
      <w:pPr>
        <w:adjustRightInd w:val="0"/>
        <w:snapToGrid w:val="0"/>
        <w:spacing w:line="360" w:lineRule="auto"/>
        <w:ind w:firstLine="562" w:firstLineChars="200"/>
        <w:rPr>
          <w:rFonts w:hint="eastAsia" w:ascii="宋体" w:hAnsi="宋体" w:cs="仿宋"/>
          <w:b/>
          <w:bCs/>
          <w:color w:val="000000"/>
          <w:sz w:val="28"/>
          <w:szCs w:val="28"/>
        </w:rPr>
      </w:pPr>
      <w:r>
        <w:rPr>
          <w:rFonts w:hint="eastAsia" w:ascii="宋体" w:hAnsi="宋体" w:cs="仿宋"/>
          <w:b/>
          <w:color w:val="000000"/>
          <w:sz w:val="28"/>
          <w:szCs w:val="28"/>
        </w:rPr>
        <w:t>七、</w:t>
      </w:r>
      <w:r>
        <w:rPr>
          <w:rFonts w:hint="eastAsia" w:ascii="宋体" w:hAnsi="宋体" w:cs="仿宋"/>
          <w:b/>
          <w:bCs/>
          <w:color w:val="000000"/>
          <w:sz w:val="28"/>
          <w:szCs w:val="28"/>
        </w:rPr>
        <w:t>参考教材</w:t>
      </w:r>
    </w:p>
    <w:p w14:paraId="06AC9285">
      <w:pPr>
        <w:adjustRightInd w:val="0"/>
        <w:snapToGrid w:val="0"/>
        <w:spacing w:line="360" w:lineRule="auto"/>
        <w:ind w:firstLine="420" w:firstLineChars="200"/>
        <w:rPr>
          <w:rFonts w:hint="eastAsia" w:ascii="宋体" w:hAnsi="宋体" w:eastAsia="宋体" w:cs="微软雅黑"/>
          <w:kern w:val="0"/>
          <w:szCs w:val="21"/>
        </w:rPr>
      </w:pPr>
      <w:r>
        <w:rPr>
          <w:rFonts w:hint="eastAsia" w:ascii="宋体" w:hAnsi="宋体" w:eastAsia="宋体" w:cs="微软雅黑"/>
          <w:kern w:val="0"/>
          <w:szCs w:val="21"/>
        </w:rPr>
        <w:t>罗先觉主编.电路(第6版)</w:t>
      </w:r>
      <w:r>
        <w:rPr>
          <w:rFonts w:ascii="Vrinda" w:hAnsi="Vrinda" w:eastAsia="宋体" w:cs="Vrinda"/>
          <w:kern w:val="0"/>
          <w:szCs w:val="21"/>
        </w:rPr>
        <w:t xml:space="preserve"> [</w:t>
      </w:r>
      <w:r>
        <w:rPr>
          <w:rFonts w:hint="eastAsia" w:ascii="Vrinda" w:hAnsi="Vrinda" w:eastAsia="宋体" w:cs="Vrinda"/>
          <w:kern w:val="0"/>
          <w:szCs w:val="21"/>
        </w:rPr>
        <w:t>M</w:t>
      </w:r>
      <w:r>
        <w:rPr>
          <w:rFonts w:ascii="Vrinda" w:hAnsi="Vrinda" w:eastAsia="宋体" w:cs="Vrinda"/>
          <w:kern w:val="0"/>
          <w:szCs w:val="21"/>
        </w:rPr>
        <w:t>]</w:t>
      </w:r>
      <w:r>
        <w:rPr>
          <w:rFonts w:hint="eastAsia" w:ascii="宋体" w:hAnsi="宋体" w:eastAsia="宋体" w:cs="微软雅黑"/>
          <w:kern w:val="0"/>
          <w:szCs w:val="21"/>
        </w:rPr>
        <w:t>.北京：高等教育出版社，2022年6月.</w:t>
      </w:r>
    </w:p>
    <w:p w14:paraId="2805A749">
      <w:pPr>
        <w:adjustRightInd w:val="0"/>
        <w:snapToGrid w:val="0"/>
        <w:spacing w:line="360" w:lineRule="auto"/>
        <w:ind w:firstLine="562" w:firstLineChars="200"/>
        <w:rPr>
          <w:rFonts w:hint="eastAsia" w:ascii="宋体" w:hAnsi="宋体" w:cs="仿宋"/>
          <w:b/>
          <w:bCs/>
          <w:color w:val="000000"/>
          <w:sz w:val="28"/>
          <w:szCs w:val="28"/>
        </w:rPr>
      </w:pPr>
      <w:bookmarkStart w:id="14" w:name="_GoBack"/>
      <w:bookmarkEnd w:id="14"/>
      <w:r>
        <w:rPr>
          <w:rFonts w:hint="eastAsia" w:ascii="宋体" w:hAnsi="宋体" w:cs="仿宋"/>
          <w:b/>
          <w:bCs/>
          <w:color w:val="000000"/>
          <w:sz w:val="28"/>
          <w:szCs w:val="28"/>
        </w:rPr>
        <w:t>八、其它</w:t>
      </w:r>
    </w:p>
    <w:p w14:paraId="7BEF7116">
      <w:pPr>
        <w:pStyle w:val="2"/>
        <w:adjustRightInd w:val="0"/>
        <w:snapToGrid w:val="0"/>
        <w:spacing w:line="360" w:lineRule="auto"/>
        <w:ind w:firstLine="480" w:firstLineChars="200"/>
        <w:rPr>
          <w:rFonts w:hAnsi="宋体" w:eastAsia="宋体" w:cs="宋体"/>
          <w:sz w:val="24"/>
        </w:rPr>
      </w:pPr>
      <w:r>
        <w:rPr>
          <w:rFonts w:hAnsi="宋体" w:eastAsia="宋体" w:cs="宋体"/>
          <w:sz w:val="24"/>
        </w:rPr>
        <w:t>课程网站链接</w:t>
      </w:r>
    </w:p>
    <w:p w14:paraId="2BD24378">
      <w:pPr>
        <w:pStyle w:val="2"/>
        <w:adjustRightInd w:val="0"/>
        <w:snapToGrid w:val="0"/>
        <w:spacing w:line="360" w:lineRule="auto"/>
        <w:ind w:firstLine="480" w:firstLineChars="200"/>
        <w:rPr>
          <w:rFonts w:hint="default"/>
        </w:rPr>
      </w:pPr>
      <w:r>
        <w:rPr>
          <w:rFonts w:hAnsi="宋体" w:eastAsia="宋体" w:cs="宋体"/>
          <w:sz w:val="24"/>
        </w:rPr>
        <w:t>学银在线：</w:t>
      </w:r>
      <w:r>
        <w:fldChar w:fldCharType="begin"/>
      </w:r>
      <w:r>
        <w:instrText xml:space="preserve"> HYPERLINK "https://www.xueyinonline.com/detail/241523086" </w:instrText>
      </w:r>
      <w:r>
        <w:fldChar w:fldCharType="separate"/>
      </w:r>
      <w:r>
        <w:rPr>
          <w:rStyle w:val="10"/>
        </w:rPr>
        <w:t>https://www.xueyinonline.com/detail/241523086</w:t>
      </w:r>
      <w:r>
        <w:rPr>
          <w:rStyle w:val="10"/>
        </w:rPr>
        <w:fldChar w:fldCharType="end"/>
      </w:r>
    </w:p>
    <w:p w14:paraId="3C730A6A">
      <w:pPr>
        <w:pStyle w:val="2"/>
        <w:adjustRightInd w:val="0"/>
        <w:snapToGrid w:val="0"/>
        <w:spacing w:line="360" w:lineRule="auto"/>
        <w:ind w:firstLine="480" w:firstLineChars="200"/>
        <w:rPr>
          <w:rFonts w:hAnsi="宋体" w:eastAsia="宋体" w:cs="宋体"/>
          <w:sz w:val="24"/>
        </w:rPr>
      </w:pPr>
      <w:r>
        <w:rPr>
          <w:rFonts w:hAnsi="宋体" w:eastAsia="宋体" w:cs="宋体"/>
          <w:sz w:val="24"/>
        </w:rPr>
        <w:t>学习通APP班级邀请码</w:t>
      </w:r>
    </w:p>
    <w:p w14:paraId="24636AB6">
      <w:pPr>
        <w:pStyle w:val="2"/>
        <w:adjustRightInd w:val="0"/>
        <w:snapToGrid w:val="0"/>
        <w:spacing w:line="360" w:lineRule="auto"/>
        <w:ind w:firstLine="420" w:firstLineChars="200"/>
        <w:rPr>
          <w:rFonts w:hAnsi="宋体" w:eastAsia="宋体" w:cs="宋体"/>
          <w:sz w:val="24"/>
        </w:rPr>
      </w:pPr>
      <w:r>
        <w:drawing>
          <wp:inline distT="0" distB="0" distL="114300" distR="114300">
            <wp:extent cx="3131820" cy="5172710"/>
            <wp:effectExtent l="0" t="0" r="11430" b="889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4"/>
                    <a:stretch>
                      <a:fillRect/>
                    </a:stretch>
                  </pic:blipFill>
                  <pic:spPr>
                    <a:xfrm>
                      <a:off x="0" y="0"/>
                      <a:ext cx="3131820" cy="5172710"/>
                    </a:xfrm>
                    <a:prstGeom prst="rect">
                      <a:avLst/>
                    </a:prstGeom>
                    <a:noFill/>
                    <a:ln>
                      <a:noFill/>
                    </a:ln>
                  </pic:spPr>
                </pic:pic>
              </a:graphicData>
            </a:graphic>
          </wp:inline>
        </w:drawing>
      </w:r>
    </w:p>
    <w:sectPr>
      <w:pgSz w:w="11906" w:h="16838"/>
      <w:pgMar w:top="1440" w:right="141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Vrinda">
    <w:altName w:val="Segoe UI Symbol"/>
    <w:panose1 w:val="020B0502040204020203"/>
    <w:charset w:val="00"/>
    <w:family w:val="swiss"/>
    <w:pitch w:val="default"/>
    <w:sig w:usb0="00000000" w:usb1="00000000" w:usb2="00000000" w:usb3="00000000" w:csb0="00000001" w:csb1="00000000"/>
  </w:font>
  <w:font w:name="Segoe UI Symbol">
    <w:panose1 w:val="020B0502040204020203"/>
    <w:charset w:val="00"/>
    <w:family w:val="auto"/>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785BC0"/>
    <w:rsid w:val="0009312E"/>
    <w:rsid w:val="000D1CAC"/>
    <w:rsid w:val="001502DC"/>
    <w:rsid w:val="00173B20"/>
    <w:rsid w:val="002919B7"/>
    <w:rsid w:val="002F4881"/>
    <w:rsid w:val="0036347A"/>
    <w:rsid w:val="0037043C"/>
    <w:rsid w:val="003824FD"/>
    <w:rsid w:val="0039355F"/>
    <w:rsid w:val="003B77A5"/>
    <w:rsid w:val="00424AA9"/>
    <w:rsid w:val="004B25A7"/>
    <w:rsid w:val="00554E68"/>
    <w:rsid w:val="005E07C6"/>
    <w:rsid w:val="00637C6F"/>
    <w:rsid w:val="0074013B"/>
    <w:rsid w:val="007D6B16"/>
    <w:rsid w:val="00860596"/>
    <w:rsid w:val="00994C64"/>
    <w:rsid w:val="009B62CF"/>
    <w:rsid w:val="009C41A2"/>
    <w:rsid w:val="009E403C"/>
    <w:rsid w:val="00A2234F"/>
    <w:rsid w:val="00A22964"/>
    <w:rsid w:val="00A3230F"/>
    <w:rsid w:val="00AB3ADE"/>
    <w:rsid w:val="00CA26E6"/>
    <w:rsid w:val="00D32EE4"/>
    <w:rsid w:val="00D45FE2"/>
    <w:rsid w:val="00D904E6"/>
    <w:rsid w:val="00DD002A"/>
    <w:rsid w:val="00EA4D44"/>
    <w:rsid w:val="00EC37B5"/>
    <w:rsid w:val="00F11F26"/>
    <w:rsid w:val="00F33E83"/>
    <w:rsid w:val="00F977B2"/>
    <w:rsid w:val="00FA40B8"/>
    <w:rsid w:val="08785BC0"/>
    <w:rsid w:val="0FD84E0B"/>
    <w:rsid w:val="150A2B53"/>
    <w:rsid w:val="16880487"/>
    <w:rsid w:val="1CC7757C"/>
    <w:rsid w:val="37CF301E"/>
    <w:rsid w:val="38CA20D2"/>
    <w:rsid w:val="3E0D0E3B"/>
    <w:rsid w:val="4F5221F9"/>
    <w:rsid w:val="64306D81"/>
    <w:rsid w:val="650C2B5C"/>
    <w:rsid w:val="6D934609"/>
    <w:rsid w:val="75CD27AA"/>
    <w:rsid w:val="775F37AE"/>
    <w:rsid w:val="77F8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qFormat/>
    <w:uiPriority w:val="0"/>
    <w:rPr>
      <w:rFonts w:hint="eastAsia" w:ascii="宋体" w:hAnsi="Courier New" w:eastAsia="等线" w:cs="Courier New"/>
      <w:szCs w:val="21"/>
    </w:r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center"/>
    </w:pPr>
    <w:rPr>
      <w:rFonts w:ascii="宋体" w:hAnsi="宋体" w:eastAsia="宋体" w:cs="宋体"/>
      <w:kern w:val="0"/>
      <w:sz w:val="24"/>
    </w:rPr>
  </w:style>
  <w:style w:type="character" w:styleId="9">
    <w:name w:val="page number"/>
    <w:basedOn w:val="8"/>
    <w:qFormat/>
    <w:uiPriority w:val="0"/>
  </w:style>
  <w:style w:type="character" w:styleId="10">
    <w:name w:val="Hyperlink"/>
    <w:basedOn w:val="8"/>
    <w:unhideWhenUsed/>
    <w:qFormat/>
    <w:uiPriority w:val="99"/>
    <w:rPr>
      <w:color w:val="0026E5" w:themeColor="hyperlink"/>
      <w:u w:val="single"/>
      <w14:textFill>
        <w14:solidFill>
          <w14:schemeClr w14:val="hlink"/>
        </w14:solidFill>
      </w14:textFill>
    </w:rPr>
  </w:style>
  <w:style w:type="paragraph" w:styleId="11">
    <w:name w:val="List Paragraph"/>
    <w:basedOn w:val="1"/>
    <w:qFormat/>
    <w:uiPriority w:val="0"/>
    <w:pPr>
      <w:ind w:firstLine="420" w:firstLineChars="200"/>
    </w:pPr>
    <w:rPr>
      <w:rFonts w:ascii="Calibri" w:hAnsi="Calibri"/>
      <w:szCs w:val="22"/>
    </w:rPr>
  </w:style>
  <w:style w:type="character" w:customStyle="1" w:styleId="12">
    <w:name w:val="纯文本 字符"/>
    <w:basedOn w:val="8"/>
    <w:link w:val="2"/>
    <w:uiPriority w:val="0"/>
    <w:rPr>
      <w:rFonts w:ascii="宋体" w:hAnsi="Courier New" w:eastAsia="等线" w:cs="Courier New"/>
      <w:kern w:val="2"/>
      <w:sz w:val="21"/>
      <w:szCs w:val="21"/>
    </w:rPr>
  </w:style>
  <w:style w:type="character" w:customStyle="1" w:styleId="13">
    <w:name w:val="批注框文本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1290</Words>
  <Characters>1348</Characters>
  <Lines>10</Lines>
  <Paragraphs>2</Paragraphs>
  <TotalTime>0</TotalTime>
  <ScaleCrop>false</ScaleCrop>
  <LinksUpToDate>false</LinksUpToDate>
  <CharactersWithSpaces>1357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2025-02-27T14:59:00Z</dcterms:created>
  <dc:creator>毛毛熊</dc:creator>
  <cp:lastModifiedBy>毛毛熊</cp:lastModifiedBy>
  <dcterms:modified xsi:type="dcterms:W3CDTF">2025-02-28T10:52:48Z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15A90E9A23CC43C1831620F737D86A44_13</vt:lpwstr>
  </property>
  <property fmtid="{D5CDD505-2E9C-101B-9397-08002B2CF9AE}" pid="4" name="KSOTemplateDocerSaveRecord">
    <vt:lpwstr>eyJoZGlkIjoiZTVmYjdhZjI3Yjc3MzYzZDE0MjMzZDhkOGNmNTMyOTEiLCJ1c2VySWQiOiI3ODYxMDIxMTYifQ==</vt:lpwstr>
  </property>
</Properties>
</file>